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spacing w:after="0"/>
        <w:rPr>
          <w:rFonts w:hint="default" w:ascii="Arial" w:hAnsi="Arial" w:eastAsia="宋体" w:cs="Arial"/>
          <w:b/>
          <w:sz w:val="22"/>
          <w:szCs w:val="22"/>
          <w:lang w:val="en-US" w:eastAsia="zh-CN"/>
        </w:rPr>
      </w:pPr>
      <w:bookmarkStart w:id="0" w:name="_Ref494746248"/>
      <w:r>
        <w:rPr>
          <w:rFonts w:ascii="Arial" w:hAnsi="Arial" w:cs="Arial"/>
          <w:b/>
          <w:sz w:val="22"/>
          <w:szCs w:val="22"/>
        </w:rPr>
        <w:t>3GPP TSG RAN WG1 #108-e</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R1-220</w:t>
      </w:r>
      <w:r>
        <w:rPr>
          <w:rFonts w:hint="eastAsia" w:ascii="Arial" w:hAnsi="Arial" w:cs="Arial"/>
          <w:b/>
          <w:sz w:val="22"/>
          <w:szCs w:val="22"/>
          <w:lang w:val="en-US" w:eastAsia="zh-CN"/>
        </w:rPr>
        <w:t>1172</w:t>
      </w:r>
      <w:bookmarkStart w:id="14" w:name="_GoBack"/>
      <w:bookmarkEnd w:id="14"/>
    </w:p>
    <w:p>
      <w:pPr>
        <w:pStyle w:val="37"/>
        <w:jc w:val="both"/>
        <w:rPr>
          <w:rFonts w:cs="Arial"/>
          <w:i w:val="0"/>
          <w:sz w:val="22"/>
          <w:szCs w:val="22"/>
          <w:lang w:eastAsia="zh-CN"/>
        </w:rPr>
      </w:pPr>
      <w:bookmarkStart w:id="1" w:name="OLE_LINK1"/>
      <w:r>
        <w:rPr>
          <w:rFonts w:cs="Arial"/>
          <w:bCs/>
          <w:i w:val="0"/>
          <w:sz w:val="22"/>
          <w:szCs w:val="22"/>
          <w:lang w:val="en-GB" w:eastAsia="zh-CN"/>
        </w:rPr>
        <w:t>e-Meeting, February 21</w:t>
      </w:r>
      <w:r>
        <w:rPr>
          <w:rFonts w:cs="Arial"/>
          <w:bCs/>
          <w:i w:val="0"/>
          <w:sz w:val="22"/>
          <w:szCs w:val="22"/>
          <w:vertAlign w:val="superscript"/>
          <w:lang w:val="en-GB" w:eastAsia="zh-CN"/>
        </w:rPr>
        <w:t>st</w:t>
      </w:r>
      <w:r>
        <w:rPr>
          <w:rFonts w:cs="Arial"/>
          <w:bCs/>
          <w:i w:val="0"/>
          <w:sz w:val="22"/>
          <w:szCs w:val="22"/>
          <w:lang w:val="en-GB" w:eastAsia="zh-CN"/>
        </w:rPr>
        <w:t xml:space="preserve"> – March 3</w:t>
      </w:r>
      <w:r>
        <w:rPr>
          <w:rFonts w:cs="Arial"/>
          <w:bCs/>
          <w:i w:val="0"/>
          <w:sz w:val="22"/>
          <w:szCs w:val="22"/>
          <w:vertAlign w:val="superscript"/>
          <w:lang w:val="en-GB" w:eastAsia="zh-CN"/>
        </w:rPr>
        <w:t>rd</w:t>
      </w:r>
      <w:r>
        <w:rPr>
          <w:rFonts w:cs="Arial"/>
          <w:bCs/>
          <w:i w:val="0"/>
          <w:sz w:val="22"/>
          <w:szCs w:val="22"/>
          <w:lang w:val="en-GB" w:eastAsia="zh-CN"/>
        </w:rPr>
        <w:t>, 2022</w:t>
      </w:r>
    </w:p>
    <w:bookmarkEnd w:id="1"/>
    <w:p>
      <w:pPr>
        <w:pStyle w:val="37"/>
        <w:jc w:val="both"/>
        <w:rPr>
          <w:rFonts w:cs="Arial"/>
          <w:i w:val="0"/>
          <w:sz w:val="22"/>
          <w:szCs w:val="22"/>
          <w:lang w:eastAsia="zh-CN"/>
        </w:rPr>
      </w:pP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b/>
        </w:rPr>
        <w:t>Maintenance of Broadcast or Multicast for RRC_IDLE or RRC_INACTIVE UEs</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8.12.3</w:t>
      </w:r>
    </w:p>
    <w:p>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pPr>
        <w:pStyle w:val="2"/>
        <w:textAlignment w:val="auto"/>
      </w:pPr>
      <w:bookmarkStart w:id="3" w:name="_Ref4817"/>
      <w:r>
        <w:t>Introduction</w:t>
      </w:r>
      <w:bookmarkEnd w:id="0"/>
      <w:bookmarkEnd w:id="3"/>
    </w:p>
    <w:p>
      <w:pPr>
        <w:rPr>
          <w:color w:val="000000"/>
        </w:rPr>
      </w:pPr>
      <w:r>
        <w:rPr>
          <w:color w:val="000000"/>
        </w:rPr>
        <w:t>In this contribution, we present our analysis on some remaining issues of</w:t>
      </w:r>
      <w:r>
        <w:t xml:space="preserve"> </w:t>
      </w:r>
      <w:r>
        <w:rPr>
          <w:color w:val="000000"/>
        </w:rPr>
        <w:t>functions for broadcast or multicast for RRC_IDLE or RRC_INACTIVE UEs.</w:t>
      </w:r>
    </w:p>
    <w:p>
      <w:pPr>
        <w:pStyle w:val="2"/>
        <w:rPr>
          <w:lang w:eastAsia="zh-CN"/>
        </w:rPr>
      </w:pPr>
      <w:r>
        <w:rPr>
          <w:lang w:eastAsia="zh-CN"/>
        </w:rPr>
        <w:t>Discussion</w:t>
      </w:r>
    </w:p>
    <w:p>
      <w:pPr>
        <w:pStyle w:val="3"/>
        <w:rPr>
          <w:lang w:eastAsia="zh-CN"/>
        </w:rPr>
      </w:pPr>
      <w:r>
        <w:rPr>
          <w:lang w:eastAsia="zh-CN"/>
        </w:rPr>
        <w:t>Simultaneous reception</w:t>
      </w:r>
    </w:p>
    <w:p>
      <w:pPr>
        <w:rPr>
          <w:lang w:val="en-GB" w:eastAsia="zh-CN"/>
        </w:rPr>
      </w:pPr>
      <w:r>
        <w:rPr>
          <w:rFonts w:hint="eastAsia"/>
          <w:lang w:val="en-GB" w:eastAsia="zh-CN"/>
        </w:rPr>
        <w:t>I</w:t>
      </w:r>
      <w:r>
        <w:rPr>
          <w:lang w:val="en-GB" w:eastAsia="zh-CN"/>
        </w:rPr>
        <w:t>n RAN1#107b-e meeting, the following agreements were made. One remaining issue is whether to support FDMed MCCH/MTCH PDSCH and SSB.</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rPr>
                <w:rFonts w:ascii="New York" w:hAnsi="New York"/>
                <w:b/>
                <w:lang w:eastAsia="zh-CN"/>
              </w:rPr>
            </w:pPr>
            <w:r>
              <w:rPr>
                <w:rFonts w:ascii="New York" w:hAnsi="New York"/>
                <w:b/>
                <w:highlight w:val="green"/>
                <w:lang w:eastAsia="zh-CN"/>
              </w:rPr>
              <w:t>Agreement</w:t>
            </w:r>
          </w:p>
          <w:p>
            <w:pPr>
              <w:spacing w:before="0" w:after="0" w:line="240" w:lineRule="auto"/>
              <w:rPr>
                <w:rFonts w:ascii="New York" w:hAnsi="New York"/>
                <w:lang w:eastAsia="zh-CN"/>
              </w:rPr>
            </w:pPr>
            <w:r>
              <w:rPr>
                <w:rFonts w:ascii="New York" w:hAnsi="New York"/>
                <w:lang w:eastAsia="zh-CN"/>
              </w:rPr>
              <w:t>For RRC_IDLE/INACTIVE UEs, a UE is not required to support reception of FDMed MCCH PDSCH and MTCH PDSCH in PCell.</w:t>
            </w:r>
          </w:p>
          <w:p>
            <w:pPr>
              <w:spacing w:before="0" w:after="0" w:line="240" w:lineRule="auto"/>
              <w:rPr>
                <w:rFonts w:ascii="New York" w:hAnsi="New York"/>
                <w:b/>
                <w:lang w:eastAsia="zh-CN"/>
              </w:rPr>
            </w:pPr>
            <w:r>
              <w:rPr>
                <w:rFonts w:ascii="New York" w:hAnsi="New York"/>
                <w:b/>
                <w:highlight w:val="green"/>
                <w:lang w:eastAsia="zh-CN"/>
              </w:rPr>
              <w:t>Agreement</w:t>
            </w:r>
          </w:p>
          <w:p>
            <w:pPr>
              <w:spacing w:before="0" w:after="0" w:line="240" w:lineRule="auto"/>
              <w:rPr>
                <w:rFonts w:ascii="New York" w:hAnsi="New York"/>
                <w:lang w:eastAsia="zh-CN"/>
              </w:rPr>
            </w:pPr>
            <w:r>
              <w:rPr>
                <w:rFonts w:ascii="New York" w:hAnsi="New York"/>
                <w:lang w:eastAsia="zh-CN"/>
              </w:rPr>
              <w:t>For RRC_IDLE/INACTIVE UEs, a UE is not required to support reception of FDMed multiple MTCH PDSCHs in PCell.</w:t>
            </w:r>
          </w:p>
          <w:p>
            <w:pPr>
              <w:spacing w:before="0" w:after="0" w:line="240" w:lineRule="auto"/>
              <w:rPr>
                <w:rFonts w:ascii="New York" w:hAnsi="New York"/>
                <w:b/>
                <w:lang w:eastAsia="zh-CN"/>
              </w:rPr>
            </w:pPr>
            <w:r>
              <w:rPr>
                <w:rFonts w:ascii="New York" w:hAnsi="New York"/>
                <w:b/>
                <w:highlight w:val="green"/>
                <w:lang w:eastAsia="zh-CN"/>
              </w:rPr>
              <w:t>Agreement</w:t>
            </w:r>
          </w:p>
          <w:p>
            <w:pPr>
              <w:spacing w:before="0" w:after="0" w:line="240" w:lineRule="auto"/>
              <w:rPr>
                <w:rFonts w:ascii="New York" w:hAnsi="New York"/>
                <w:lang w:eastAsia="zh-CN"/>
              </w:rPr>
            </w:pPr>
            <w:r>
              <w:rPr>
                <w:rFonts w:ascii="New York" w:hAnsi="New York"/>
                <w:lang w:eastAsia="zh-CN"/>
              </w:rPr>
              <w:t>For RRC_IDLE/INACTIVE UEs, a UE is not required to support reception of FDMed MCCH/MTCH PDSCH and SIB1 or Paging PDSCH in PCell.</w:t>
            </w:r>
          </w:p>
          <w:p>
            <w:pPr>
              <w:numPr>
                <w:ilvl w:val="1"/>
                <w:numId w:val="10"/>
              </w:numPr>
              <w:overflowPunct/>
              <w:autoSpaceDE/>
              <w:autoSpaceDN/>
              <w:adjustRightInd/>
              <w:spacing w:before="0" w:after="0" w:line="240" w:lineRule="auto"/>
              <w:jc w:val="left"/>
              <w:textAlignment w:val="auto"/>
              <w:rPr>
                <w:rFonts w:ascii="New York" w:hAnsi="New York"/>
                <w:lang w:eastAsia="zh-CN"/>
              </w:rPr>
            </w:pPr>
            <w:r>
              <w:rPr>
                <w:rFonts w:ascii="New York" w:hAnsi="New York"/>
                <w:lang w:eastAsia="zh-CN"/>
              </w:rPr>
              <w:t>FFS: PBCH and other SIBs</w:t>
            </w:r>
          </w:p>
          <w:p>
            <w:pPr>
              <w:spacing w:before="0" w:after="0" w:line="240" w:lineRule="auto"/>
              <w:rPr>
                <w:rFonts w:ascii="New York" w:hAnsi="New York"/>
                <w:b/>
                <w:lang w:eastAsia="zh-CN"/>
              </w:rPr>
            </w:pPr>
            <w:r>
              <w:rPr>
                <w:rFonts w:ascii="New York" w:hAnsi="New York"/>
                <w:b/>
                <w:highlight w:val="green"/>
                <w:lang w:eastAsia="zh-CN"/>
              </w:rPr>
              <w:t>Agreement</w:t>
            </w:r>
          </w:p>
          <w:p>
            <w:pPr>
              <w:spacing w:before="0" w:after="0" w:line="240" w:lineRule="auto"/>
              <w:rPr>
                <w:rFonts w:ascii="New York" w:hAnsi="New York"/>
                <w:bCs/>
                <w:lang w:eastAsia="zh-CN"/>
              </w:rPr>
            </w:pPr>
            <w:r>
              <w:rPr>
                <w:rFonts w:ascii="New York" w:hAnsi="New York"/>
                <w:bCs/>
                <w:lang w:eastAsia="zh-CN"/>
              </w:rPr>
              <w:t>For RRC_IDLE/INACTIVE UEs, a UE</w:t>
            </w:r>
            <w:r>
              <w:rPr>
                <w:rFonts w:ascii="New York" w:hAnsi="New York"/>
                <w:lang w:eastAsia="zh-CN"/>
              </w:rPr>
              <w:t xml:space="preserve"> </w:t>
            </w:r>
            <w:r>
              <w:rPr>
                <w:rFonts w:ascii="New York" w:hAnsi="New York"/>
                <w:bCs/>
                <w:lang w:eastAsia="zh-CN"/>
              </w:rPr>
              <w:t>is not required to support reception of FDMed MCCH/MTCH PDSCH and SIB PDSCH in PCell.</w:t>
            </w:r>
          </w:p>
        </w:tc>
      </w:tr>
    </w:tbl>
    <w:p>
      <w:pPr>
        <w:rPr>
          <w:lang w:val="en-GB" w:eastAsia="zh-CN"/>
        </w:rPr>
      </w:pPr>
    </w:p>
    <w:p>
      <w:pPr>
        <w:rPr>
          <w:lang w:val="en-GB" w:eastAsia="zh-CN"/>
        </w:rPr>
      </w:pPr>
      <w:r>
        <w:rPr>
          <w:lang w:val="en-GB" w:eastAsia="zh-CN"/>
        </w:rPr>
        <w:t>As shown in the following table, since Rel-15, UE is allowed to receive PDSCH overlapping with SSB, where the PDSCH includes the PDSCH scheduled with SI-RNTI and the system information indicator in DCI is set to 1, RA-RNTI, P-RNTI, TC-RNTI,</w:t>
      </w:r>
      <w:r>
        <w:t xml:space="preserve"> </w:t>
      </w:r>
      <w:r>
        <w:rPr>
          <w:lang w:val="en-GB" w:eastAsia="zh-CN"/>
        </w:rPr>
        <w:t>C-RNTI, MCS-C-RNTI, CS-RNTI, or PDSCHs with SPS.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pStyle w:val="4"/>
              <w:numPr>
                <w:ilvl w:val="0"/>
                <w:numId w:val="0"/>
              </w:numPr>
              <w:spacing w:before="0" w:after="0" w:line="240" w:lineRule="auto"/>
              <w:outlineLvl w:val="2"/>
              <w:rPr>
                <w:b/>
                <w:bCs/>
                <w:color w:val="000000"/>
                <w:sz w:val="22"/>
                <w:lang w:eastAsia="zh-CN"/>
              </w:rPr>
            </w:pPr>
            <w:r>
              <w:rPr>
                <w:b/>
                <w:bCs/>
                <w:color w:val="000000"/>
                <w:sz w:val="22"/>
              </w:rPr>
              <w:t>5.1.4</w:t>
            </w:r>
            <w:r>
              <w:rPr>
                <w:b/>
                <w:bCs/>
                <w:color w:val="000000"/>
                <w:sz w:val="22"/>
              </w:rPr>
              <w:tab/>
            </w:r>
            <w:r>
              <w:rPr>
                <w:b/>
                <w:bCs/>
                <w:color w:val="000000"/>
                <w:sz w:val="22"/>
              </w:rPr>
              <w:t>PDSCH resource mapping</w:t>
            </w:r>
          </w:p>
          <w:p>
            <w:pPr>
              <w:spacing w:before="0" w:after="0" w:line="240" w:lineRule="auto"/>
              <w:rPr>
                <w:rFonts w:ascii="New York" w:hAnsi="New York"/>
                <w:kern w:val="2"/>
              </w:rPr>
            </w:pPr>
            <w:r>
              <w:rPr>
                <w:rFonts w:ascii="New York" w:hAnsi="New York"/>
                <w:kern w:val="2"/>
              </w:rPr>
              <w:t>-------------------------------------&lt;Other parts are omitted&gt;-------------------------------------</w:t>
            </w:r>
          </w:p>
          <w:p>
            <w:pPr>
              <w:spacing w:before="0" w:after="0" w:line="240" w:lineRule="auto"/>
              <w:rPr>
                <w:rFonts w:ascii="New York" w:hAnsi="New York"/>
                <w:kern w:val="2"/>
              </w:rPr>
            </w:pPr>
            <w:r>
              <w:rPr>
                <w:rFonts w:ascii="New York" w:hAnsi="New York"/>
                <w:kern w:val="2"/>
              </w:rPr>
              <w:t xml:space="preserve">When receiving the PDSCH </w:t>
            </w:r>
            <w:r>
              <w:rPr>
                <w:rFonts w:ascii="New York" w:hAnsi="New York"/>
                <w:color w:val="000000"/>
                <w:kern w:val="2"/>
              </w:rPr>
              <w:t>scheduled with SI-RNTI and the system information indicator in DCI is set to 1, RA-RNTI, P-RNTI or TC-RNTI</w:t>
            </w:r>
            <w:r>
              <w:rPr>
                <w:rFonts w:ascii="New York" w:hAnsi="New York"/>
                <w:kern w:val="2"/>
              </w:rPr>
              <w:t xml:space="preserve">, the UE assumes SS/PBCH block transmission according to </w:t>
            </w:r>
            <w:r>
              <w:rPr>
                <w:rFonts w:ascii="New York" w:hAnsi="New York"/>
                <w:i/>
                <w:iCs/>
                <w:color w:val="000000"/>
                <w:kern w:val="2"/>
              </w:rPr>
              <w:t>ssb-PositionsInBurst</w:t>
            </w:r>
            <w:r>
              <w:rPr>
                <w:rFonts w:ascii="New York" w:hAnsi="New York"/>
                <w:kern w:val="2"/>
              </w:rPr>
              <w:t xml:space="preserve">, </w:t>
            </w:r>
            <w:r>
              <w:rPr>
                <w:rFonts w:ascii="New York" w:hAnsi="New York"/>
                <w:kern w:val="2"/>
                <w:highlight w:val="yellow"/>
              </w:rPr>
              <w:t xml:space="preserve">and if the PDSCH resource allocation overlaps with PRBs containing SS/PBCH block transmission resources the UE shall assume that </w:t>
            </w:r>
            <w:r>
              <w:rPr>
                <w:rFonts w:ascii="New York" w:hAnsi="New York"/>
                <w:color w:val="000000"/>
                <w:kern w:val="2"/>
                <w:highlight w:val="yellow"/>
              </w:rPr>
              <w:t>the PRBs containing SS/PBCH block transmission resources are not available for PDSCH</w:t>
            </w:r>
            <w:r>
              <w:rPr>
                <w:rFonts w:ascii="New York" w:hAnsi="New York"/>
                <w:kern w:val="2"/>
                <w:highlight w:val="yellow"/>
              </w:rPr>
              <w:t xml:space="preserve"> in the OFDM symbols where SS/PBCH block is transmitted.</w:t>
            </w:r>
          </w:p>
          <w:p>
            <w:pPr>
              <w:spacing w:before="0" w:after="0" w:line="240" w:lineRule="auto"/>
              <w:rPr>
                <w:rFonts w:ascii="New York" w:hAnsi="New York"/>
                <w:color w:val="000000"/>
              </w:rPr>
            </w:pPr>
            <w:r>
              <w:rPr>
                <w:rFonts w:ascii="New York" w:hAnsi="New York"/>
                <w:color w:val="000000"/>
              </w:rPr>
              <w:t xml:space="preserve">A UE expects a configuration provided by </w:t>
            </w:r>
            <w:r>
              <w:rPr>
                <w:rFonts w:ascii="New York" w:hAnsi="New York"/>
                <w:i/>
                <w:iCs/>
                <w:color w:val="000000"/>
              </w:rPr>
              <w:t>ssb-PositionsInBurst</w:t>
            </w:r>
            <w:r>
              <w:rPr>
                <w:rFonts w:ascii="New York" w:hAnsi="New York"/>
                <w:color w:val="000000"/>
              </w:rPr>
              <w:t xml:space="preserve"> in </w:t>
            </w:r>
            <w:r>
              <w:rPr>
                <w:rFonts w:ascii="New York" w:hAnsi="New York"/>
                <w:i/>
                <w:iCs/>
                <w:color w:val="000000"/>
              </w:rPr>
              <w:t>ServingCellConfigCommon</w:t>
            </w:r>
            <w:r>
              <w:rPr>
                <w:rFonts w:ascii="New York" w:hAnsi="New York"/>
                <w:color w:val="000000"/>
              </w:rPr>
              <w:t xml:space="preserve"> to be same as a configuration provided by </w:t>
            </w:r>
            <w:r>
              <w:rPr>
                <w:rFonts w:ascii="New York" w:hAnsi="New York"/>
                <w:i/>
                <w:iCs/>
                <w:color w:val="000000"/>
              </w:rPr>
              <w:t>ssb-PositionsInBurst</w:t>
            </w:r>
            <w:r>
              <w:rPr>
                <w:rFonts w:ascii="New York" w:hAnsi="New York"/>
                <w:color w:val="000000"/>
              </w:rPr>
              <w:t xml:space="preserve"> in </w:t>
            </w:r>
            <w:r>
              <w:rPr>
                <w:rFonts w:ascii="New York" w:hAnsi="New York"/>
                <w:i/>
                <w:iCs/>
                <w:color w:val="000000"/>
              </w:rPr>
              <w:t>SIB1</w:t>
            </w:r>
            <w:r>
              <w:rPr>
                <w:rFonts w:ascii="New York" w:hAnsi="New York"/>
                <w:color w:val="000000"/>
              </w:rPr>
              <w:t>.</w:t>
            </w:r>
          </w:p>
          <w:p>
            <w:pPr>
              <w:spacing w:before="0" w:after="0" w:line="240" w:lineRule="auto"/>
              <w:rPr>
                <w:rFonts w:ascii="New York" w:hAnsi="New York"/>
                <w:color w:val="000000"/>
              </w:rPr>
            </w:pPr>
            <w:r>
              <w:rPr>
                <w:rFonts w:ascii="New York" w:hAnsi="New York"/>
                <w:color w:val="000000"/>
              </w:rPr>
              <w:t xml:space="preserve">When receiving PDSCH scheduled by PDCCH with CRC scrambled by C-RNTI, MCS-C-RNTI, CS-RNTI, or PDSCHs with SPS, the REs corresponding to the configured or dynamically indicated resources in clauses 5.1.4.1, 5.1.4.2 are not available for PDSCH. Furthermore, </w:t>
            </w:r>
            <w:r>
              <w:rPr>
                <w:rFonts w:ascii="New York" w:hAnsi="New York"/>
                <w:color w:val="000000"/>
                <w:highlight w:val="yellow"/>
              </w:rPr>
              <w:t xml:space="preserve">the UE assumes SS/PBCH block transmission according to </w:t>
            </w:r>
            <w:r>
              <w:rPr>
                <w:rFonts w:ascii="New York" w:hAnsi="New York"/>
                <w:i/>
                <w:iCs/>
                <w:color w:val="000000"/>
                <w:highlight w:val="yellow"/>
              </w:rPr>
              <w:t>ssb-PositionsInBurst</w:t>
            </w:r>
            <w:r>
              <w:rPr>
                <w:rFonts w:ascii="New York" w:hAnsi="New York"/>
                <w:color w:val="000000"/>
                <w:highlight w:val="yellow"/>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w:t>
            </w:r>
            <w:r>
              <w:rPr>
                <w:rFonts w:ascii="New York" w:hAnsi="New York"/>
                <w:color w:val="000000"/>
              </w:rPr>
              <w:t xml:space="preserve"> </w:t>
            </w:r>
          </w:p>
          <w:p>
            <w:pPr>
              <w:spacing w:before="0" w:after="0" w:line="240" w:lineRule="auto"/>
              <w:rPr>
                <w:rFonts w:ascii="New York" w:hAnsi="New York"/>
                <w:kern w:val="2"/>
              </w:rPr>
            </w:pPr>
            <w:r>
              <w:rPr>
                <w:rFonts w:ascii="New York" w:hAnsi="New York"/>
                <w:kern w:val="2"/>
              </w:rPr>
              <w:t>-------------------------------------&lt;Other parts are omitted&gt;-------------------------------------</w:t>
            </w:r>
          </w:p>
        </w:tc>
      </w:tr>
    </w:tbl>
    <w:p>
      <w:pPr>
        <w:rPr>
          <w:lang w:val="en-GB" w:eastAsia="zh-CN"/>
        </w:rPr>
      </w:pPr>
    </w:p>
    <w:p>
      <w:pPr>
        <w:rPr>
          <w:lang w:val="en-GB" w:eastAsia="zh-CN"/>
        </w:rPr>
      </w:pPr>
      <w:r>
        <w:rPr>
          <w:rFonts w:hint="eastAsia"/>
          <w:lang w:val="en-GB" w:eastAsia="zh-CN"/>
        </w:rPr>
        <w:t>W</w:t>
      </w:r>
      <w:r>
        <w:rPr>
          <w:lang w:val="en-GB" w:eastAsia="zh-CN"/>
        </w:rPr>
        <w:t>hen it comes to MCCH/MTCH, it is just a PDSCH, which is the same as PDSCH scheduled with SI-RNTI and the system information indicator in DCI is set to 1, RA-RNTI, P-RNTI or TC-RNTI. From our perspective, there is no clear motivation to preclude the overlapping (or FDMed reception) of MCCH/MTCH PDSCH and SSB. Thus, we have the following proposal</w:t>
      </w:r>
      <w:r>
        <w:rPr>
          <w:rFonts w:hint="eastAsia"/>
          <w:lang w:val="en-US" w:eastAsia="zh-CN"/>
        </w:rPr>
        <w:t xml:space="preserve"> and corresponding text proposal</w:t>
      </w:r>
      <w:r>
        <w:rPr>
          <w:lang w:val="en-GB" w:eastAsia="zh-CN"/>
        </w:rPr>
        <w:t>.</w:t>
      </w:r>
    </w:p>
    <w:p>
      <w:pPr>
        <w:rPr>
          <w:i/>
          <w:lang w:eastAsia="zh-CN"/>
        </w:rPr>
      </w:pPr>
      <w:r>
        <w:rPr>
          <w:b/>
          <w:i/>
          <w:lang w:val="en-GB" w:eastAsia="zh-CN"/>
        </w:rPr>
        <w:t>Proposal 1</w:t>
      </w:r>
      <w:r>
        <w:rPr>
          <w:i/>
          <w:lang w:val="en-GB" w:eastAsia="zh-CN"/>
        </w:rPr>
        <w:t xml:space="preserve">: For RRC_IDLE/INACTIVE UEs, </w:t>
      </w:r>
      <w:r>
        <w:rPr>
          <w:i/>
          <w:lang w:eastAsia="zh-CN"/>
        </w:rPr>
        <w:t>a UE can support reception of MCCH/MTCH PDSCH that is overlapping with SSB in PCell, in which case the UE shall assume that the PRBs containing SSB transmission resources are not available for PDSCH in the OFDM symbols where SS/PBCH block is transmitted.</w:t>
      </w:r>
    </w:p>
    <w:p>
      <w:pPr>
        <w:numPr>
          <w:ilvl w:val="0"/>
          <w:numId w:val="11"/>
        </w:numPr>
        <w:spacing w:after="180"/>
        <w:ind w:left="420" w:leftChars="0" w:hanging="420" w:firstLineChars="0"/>
        <w:rPr>
          <w:rFonts w:ascii="Times New Roman" w:hAnsi="Times New Roman" w:cs="Times New Roman"/>
          <w:i/>
          <w:iCs/>
          <w:sz w:val="20"/>
          <w:szCs w:val="21"/>
          <w:lang w:val="en-GB"/>
        </w:rPr>
      </w:pPr>
      <w:r>
        <w:rPr>
          <w:rFonts w:ascii="Times New Roman" w:hAnsi="Times New Roman" w:cs="Times New Roman"/>
          <w:i/>
          <w:iCs/>
          <w:sz w:val="20"/>
          <w:szCs w:val="21"/>
          <w:lang w:val="en-GB"/>
        </w:rPr>
        <w:t xml:space="preserve">Adopt the following TP for </w:t>
      </w:r>
      <w:r>
        <w:rPr>
          <w:i/>
          <w:lang w:val="en-GB" w:eastAsia="zh-CN"/>
        </w:rPr>
        <w:t xml:space="preserve">Section </w:t>
      </w:r>
      <w:r>
        <w:rPr>
          <w:rFonts w:ascii="Times New Roman" w:hAnsi="Times New Roman" w:cs="Times New Roman"/>
          <w:i/>
          <w:iCs/>
          <w:sz w:val="20"/>
          <w:szCs w:val="21"/>
          <w:lang w:val="en-GB"/>
        </w:rPr>
        <w:t>5.1</w:t>
      </w:r>
      <w:r>
        <w:rPr>
          <w:rFonts w:hint="eastAsia" w:ascii="Times New Roman" w:hAnsi="Times New Roman" w:cs="Times New Roman"/>
          <w:i/>
          <w:iCs/>
          <w:sz w:val="20"/>
          <w:szCs w:val="21"/>
        </w:rPr>
        <w:t>.4</w:t>
      </w:r>
      <w:r>
        <w:rPr>
          <w:rFonts w:ascii="Times New Roman" w:hAnsi="Times New Roman" w:cs="Times New Roman"/>
          <w:i/>
          <w:iCs/>
          <w:sz w:val="20"/>
          <w:szCs w:val="21"/>
          <w:lang w:val="en-GB"/>
        </w:rPr>
        <w:t xml:space="preserve"> of TS38.214.</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4"/>
              <w:numPr>
                <w:ilvl w:val="-1"/>
                <w:numId w:val="0"/>
              </w:numPr>
              <w:spacing w:line="280" w:lineRule="atLeast"/>
              <w:ind w:left="0" w:firstLine="0"/>
              <w:jc w:val="both"/>
              <w:outlineLvl w:val="2"/>
              <w:rPr>
                <w:color w:val="000000"/>
              </w:rPr>
            </w:pPr>
            <w:bookmarkStart w:id="4" w:name="_Toc11352093"/>
            <w:bookmarkStart w:id="5" w:name="_Toc27299881"/>
            <w:bookmarkStart w:id="6" w:name="_Toc91695422"/>
            <w:bookmarkStart w:id="7" w:name="_Toc45810555"/>
            <w:bookmarkStart w:id="8" w:name="_Toc29673287"/>
            <w:bookmarkStart w:id="9" w:name="_Toc36645510"/>
            <w:bookmarkStart w:id="10" w:name="_Toc20317983"/>
            <w:bookmarkStart w:id="11" w:name="_Toc29673146"/>
            <w:bookmarkStart w:id="12" w:name="_Toc29674280"/>
            <w:r>
              <w:rPr>
                <w:color w:val="000000"/>
              </w:rPr>
              <w:t>5.1.4</w:t>
            </w:r>
            <w:r>
              <w:rPr>
                <w:color w:val="000000"/>
              </w:rPr>
              <w:tab/>
            </w:r>
            <w:r>
              <w:rPr>
                <w:color w:val="000000"/>
              </w:rPr>
              <w:t>PDSCH resource mapping</w:t>
            </w:r>
            <w:bookmarkEnd w:id="4"/>
            <w:bookmarkEnd w:id="5"/>
            <w:bookmarkEnd w:id="6"/>
            <w:bookmarkEnd w:id="7"/>
            <w:bookmarkEnd w:id="8"/>
            <w:bookmarkEnd w:id="9"/>
            <w:bookmarkEnd w:id="10"/>
            <w:bookmarkEnd w:id="11"/>
            <w:bookmarkEnd w:id="12"/>
          </w:p>
          <w:p>
            <w:pPr>
              <w:spacing w:before="120" w:after="120" w:afterLines="50" w:line="280" w:lineRule="atLeast"/>
              <w:rPr>
                <w:rFonts w:ascii="Times New Roman" w:hAnsi="Times New Roman" w:cs="Times New Roman"/>
                <w:sz w:val="20"/>
                <w:szCs w:val="20"/>
              </w:rPr>
            </w:pPr>
            <w:r>
              <w:rPr>
                <w:rFonts w:ascii="Times New Roman" w:hAnsi="Times New Roman" w:cs="Times New Roman"/>
                <w:sz w:val="20"/>
                <w:szCs w:val="20"/>
              </w:rPr>
              <w:t xml:space="preserve">When receiving the PDSCH </w:t>
            </w:r>
            <w:r>
              <w:rPr>
                <w:rFonts w:ascii="Times New Roman" w:hAnsi="Times New Roman" w:cs="Times New Roman"/>
                <w:color w:val="000000"/>
                <w:sz w:val="20"/>
                <w:szCs w:val="20"/>
              </w:rPr>
              <w:t>scheduled with SI-RNTI and the system information indicator in DCI is set to 0</w:t>
            </w:r>
            <w:r>
              <w:rPr>
                <w:rFonts w:ascii="Times New Roman" w:hAnsi="Times New Roman" w:cs="Times New Roman"/>
                <w:sz w:val="20"/>
                <w:szCs w:val="20"/>
              </w:rPr>
              <w:t>, the UE shall assume that no SS/PBCH block is transmitted in REs used by the UE for a reception of the PDSCH.</w:t>
            </w:r>
          </w:p>
          <w:p>
            <w:pPr>
              <w:spacing w:before="120" w:after="120" w:afterLines="50" w:line="280" w:lineRule="atLeast"/>
              <w:rPr>
                <w:rFonts w:ascii="Times New Roman" w:hAnsi="Times New Roman" w:cs="Times New Roman"/>
                <w:sz w:val="20"/>
                <w:szCs w:val="20"/>
              </w:rPr>
            </w:pPr>
            <w:r>
              <w:rPr>
                <w:rFonts w:ascii="Times New Roman" w:hAnsi="Times New Roman" w:cs="Times New Roman"/>
                <w:sz w:val="20"/>
                <w:szCs w:val="20"/>
              </w:rPr>
              <w:t xml:space="preserve">When receiving the PDSCH </w:t>
            </w:r>
            <w:r>
              <w:rPr>
                <w:rFonts w:ascii="Times New Roman" w:hAnsi="Times New Roman" w:cs="Times New Roman"/>
                <w:color w:val="000000"/>
                <w:sz w:val="20"/>
                <w:szCs w:val="20"/>
              </w:rPr>
              <w:t>scheduled with SI-RNTI and the system information indicator in DCI is set to 1, RA-RNTI, MSGB-RNTI</w:t>
            </w:r>
            <w:r>
              <w:rPr>
                <w:rStyle w:val="58"/>
                <w:rFonts w:ascii="Times New Roman" w:hAnsi="Times New Roman" w:cs="Times New Roman"/>
                <w:sz w:val="20"/>
                <w:szCs w:val="20"/>
              </w:rPr>
              <w:t xml:space="preserve">, </w:t>
            </w:r>
            <w:r>
              <w:rPr>
                <w:rFonts w:ascii="Times New Roman" w:hAnsi="Times New Roman" w:cs="Times New Roman"/>
                <w:color w:val="000000"/>
                <w:sz w:val="20"/>
                <w:szCs w:val="20"/>
              </w:rPr>
              <w:t>P-RNTI</w:t>
            </w:r>
            <w:r>
              <w:rPr>
                <w:rFonts w:hint="eastAsia" w:ascii="Times New Roman" w:hAnsi="Times New Roman" w:cs="Times New Roman"/>
                <w:color w:val="FF0000"/>
                <w:sz w:val="20"/>
                <w:szCs w:val="20"/>
                <w:u w:val="single"/>
              </w:rPr>
              <w:t>,</w:t>
            </w:r>
            <w:r>
              <w:rPr>
                <w:rFonts w:ascii="Times New Roman" w:hAnsi="Times New Roman" w:cs="Times New Roman"/>
                <w:strike/>
                <w:color w:val="FF0000"/>
                <w:sz w:val="20"/>
                <w:szCs w:val="20"/>
              </w:rPr>
              <w:t xml:space="preserve"> or</w:t>
            </w:r>
            <w:r>
              <w:rPr>
                <w:rFonts w:ascii="Times New Roman" w:hAnsi="Times New Roman" w:cs="Times New Roman"/>
                <w:color w:val="000000"/>
                <w:sz w:val="20"/>
                <w:szCs w:val="20"/>
              </w:rPr>
              <w:t xml:space="preserve"> TC-RNTI</w:t>
            </w:r>
            <w:r>
              <w:rPr>
                <w:rFonts w:hint="eastAsia" w:ascii="Times New Roman" w:hAnsi="Times New Roman" w:cs="Times New Roman"/>
                <w:color w:val="FF0000"/>
                <w:sz w:val="20"/>
                <w:szCs w:val="20"/>
                <w:u w:val="single"/>
              </w:rPr>
              <w:t xml:space="preserve">, MCCH-RNTI or G-RNTI for </w:t>
            </w:r>
            <w:r>
              <w:rPr>
                <w:rFonts w:hint="eastAsia" w:ascii="Times New Roman" w:hAnsi="Times New Roman" w:cs="Times New Roman"/>
                <w:color w:val="FF0000"/>
                <w:sz w:val="20"/>
                <w:szCs w:val="20"/>
                <w:u w:val="single"/>
                <w:lang w:val="en-US" w:eastAsia="zh-CN"/>
              </w:rPr>
              <w:t>MTCH</w:t>
            </w:r>
            <w:r>
              <w:rPr>
                <w:rFonts w:ascii="Times New Roman" w:hAnsi="Times New Roman" w:cs="Times New Roman"/>
                <w:sz w:val="20"/>
                <w:szCs w:val="20"/>
              </w:rPr>
              <w:t xml:space="preserve">, the UE assumes SS/PBCH block transmission according to </w:t>
            </w:r>
            <w:r>
              <w:rPr>
                <w:rFonts w:ascii="Times New Roman" w:hAnsi="Times New Roman" w:cs="Times New Roman"/>
                <w:i/>
                <w:color w:val="000000"/>
                <w:sz w:val="20"/>
                <w:szCs w:val="20"/>
              </w:rPr>
              <w:t>ssb-PositionsInBurst</w:t>
            </w:r>
            <w:r>
              <w:rPr>
                <w:rFonts w:ascii="Times New Roman" w:hAnsi="Times New Roman" w:cs="Times New Roman"/>
                <w:sz w:val="20"/>
                <w:szCs w:val="20"/>
              </w:rPr>
              <w:t xml:space="preserve">, and if the PDSCH resource allocation overlaps with PRBs containing SS/PBCH block transmission resources the UE shall assume that </w:t>
            </w:r>
            <w:r>
              <w:rPr>
                <w:rFonts w:ascii="Times New Roman" w:hAnsi="Times New Roman" w:cs="Times New Roman"/>
                <w:color w:val="000000"/>
                <w:sz w:val="20"/>
                <w:szCs w:val="20"/>
              </w:rPr>
              <w:t>the PRBs containing SS/PBCH block transmission resources are not available for PDSCH</w:t>
            </w:r>
            <w:r>
              <w:rPr>
                <w:rFonts w:ascii="Times New Roman" w:hAnsi="Times New Roman" w:cs="Times New Roman"/>
                <w:sz w:val="20"/>
                <w:szCs w:val="20"/>
              </w:rPr>
              <w:t xml:space="preserve"> in the OFDM symbols where SS/PBCH block is transmitted.</w:t>
            </w:r>
          </w:p>
          <w:p>
            <w:pPr>
              <w:spacing w:before="120" w:after="120" w:afterLines="50" w:line="280" w:lineRule="atLeast"/>
              <w:jc w:val="center"/>
              <w:rPr>
                <w:rFonts w:ascii="Times New Roman" w:hAnsi="Times New Roman" w:cs="Times New Roman"/>
                <w:sz w:val="20"/>
                <w:szCs w:val="20"/>
              </w:rPr>
            </w:pPr>
            <w:r>
              <w:rPr>
                <w:b/>
                <w:iCs/>
                <w:color w:val="FF0000"/>
                <w:sz w:val="20"/>
                <w:szCs w:val="20"/>
              </w:rPr>
              <w:t>&lt;Unchanged parts are omitted&gt;</w:t>
            </w:r>
          </w:p>
        </w:tc>
      </w:tr>
    </w:tbl>
    <w:p>
      <w:pPr>
        <w:rPr>
          <w:i/>
          <w:lang w:val="en-GB" w:eastAsia="zh-CN"/>
        </w:rPr>
      </w:pPr>
    </w:p>
    <w:p>
      <w:pPr>
        <w:pStyle w:val="3"/>
        <w:rPr>
          <w:lang w:eastAsia="zh-CN"/>
        </w:rPr>
      </w:pPr>
      <w:r>
        <w:rPr>
          <w:lang w:eastAsia="zh-CN"/>
        </w:rPr>
        <w:t>38.213 TP</w:t>
      </w:r>
    </w:p>
    <w:p>
      <w:pPr>
        <w:rPr>
          <w:lang w:val="en-GB" w:eastAsia="zh-CN"/>
        </w:rPr>
      </w:pPr>
      <w:r>
        <w:rPr>
          <w:rFonts w:hint="eastAsia"/>
          <w:lang w:val="en-GB" w:eastAsia="zh-CN"/>
        </w:rPr>
        <w:t>T</w:t>
      </w:r>
      <w:r>
        <w:rPr>
          <w:lang w:val="en-GB" w:eastAsia="zh-CN"/>
        </w:rPr>
        <w:t xml:space="preserve">he following first paragraph and third paragraph </w:t>
      </w:r>
      <w:r>
        <w:rPr>
          <w:rFonts w:hint="eastAsia"/>
          <w:lang w:eastAsia="zh-CN"/>
        </w:rPr>
        <w:t>on MBS frequency re</w:t>
      </w:r>
      <w:r>
        <w:rPr>
          <w:rFonts w:hint="eastAsia"/>
          <w:lang w:val="en-US" w:eastAsia="zh-CN"/>
        </w:rPr>
        <w:t>so</w:t>
      </w:r>
      <w:r>
        <w:rPr>
          <w:rFonts w:hint="eastAsia"/>
          <w:lang w:eastAsia="zh-CN"/>
        </w:rPr>
        <w:t xml:space="preserve">urce configuration </w:t>
      </w:r>
      <w:r>
        <w:rPr>
          <w:lang w:val="en-GB" w:eastAsia="zh-CN"/>
        </w:rPr>
        <w:t>seems to be conflicting with each other. We propose to delete the third paragraph to avoid confusion.</w:t>
      </w:r>
    </w:p>
    <w:p>
      <w:pPr>
        <w:rPr>
          <w:i/>
          <w:lang w:val="en-GB" w:eastAsia="zh-CN"/>
        </w:rPr>
      </w:pPr>
      <w:r>
        <w:rPr>
          <w:b/>
          <w:i/>
          <w:lang w:val="en-GB" w:eastAsia="zh-CN"/>
        </w:rPr>
        <w:t>Proposal 2</w:t>
      </w:r>
      <w:r>
        <w:rPr>
          <w:i/>
          <w:lang w:val="en-GB" w:eastAsia="zh-CN"/>
        </w:rPr>
        <w:t>: Adopt the following TP for Section 18 of TS38.213.</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rPr>
                <w:rFonts w:ascii="New York" w:hAnsi="New York"/>
                <w:b/>
                <w:sz w:val="21"/>
              </w:rPr>
            </w:pPr>
            <w:r>
              <w:rPr>
                <w:rFonts w:ascii="New York" w:hAnsi="New York"/>
                <w:b/>
                <w:sz w:val="21"/>
              </w:rPr>
              <w:t>18</w:t>
            </w:r>
            <w:r>
              <w:rPr>
                <w:rFonts w:ascii="New York" w:hAnsi="New York"/>
                <w:b/>
                <w:sz w:val="21"/>
              </w:rPr>
              <w:tab/>
            </w:r>
            <w:r>
              <w:rPr>
                <w:rFonts w:ascii="New York" w:hAnsi="New York"/>
                <w:b/>
                <w:sz w:val="21"/>
              </w:rPr>
              <w:t xml:space="preserve">  Multicast Broadcast Services</w:t>
            </w:r>
          </w:p>
          <w:p>
            <w:pPr>
              <w:spacing w:before="0" w:after="0" w:line="240" w:lineRule="auto"/>
              <w:rPr>
                <w:rFonts w:ascii="New York" w:hAnsi="New York"/>
              </w:rPr>
            </w:pPr>
            <w:r>
              <w:rPr>
                <w:rFonts w:ascii="New York" w:hAnsi="New York"/>
              </w:rPr>
              <w:t>---------------------------- Other parts are omitted. ----------------------------</w:t>
            </w:r>
          </w:p>
          <w:p>
            <w:pPr>
              <w:spacing w:before="0" w:after="0" w:line="240" w:lineRule="auto"/>
              <w:rPr>
                <w:rFonts w:ascii="New York" w:hAnsi="New York" w:eastAsia="等线"/>
                <w:lang w:eastAsia="zh-CN"/>
              </w:rPr>
            </w:pPr>
            <w:r>
              <w:rPr>
                <w:rFonts w:ascii="New York" w:hAnsi="New York"/>
              </w:rPr>
              <w:t xml:space="preserve">A UE can be configured by </w:t>
            </w:r>
            <w:r>
              <w:rPr>
                <w:rFonts w:ascii="New York" w:hAnsi="New York"/>
                <w:i/>
                <w:iCs/>
              </w:rPr>
              <w:t>cfr-Config-MCCH-MTCH</w:t>
            </w:r>
            <w:r>
              <w:rPr>
                <w:rFonts w:ascii="New York" w:hAnsi="New York"/>
              </w:rPr>
              <w:t xml:space="preserve"> an MBS frequency resource for PDCCH and PDSCH receptions providing MCCH and MTCH [12, TS 38.331]; otherwise, the MBS frequency resource is same as for the</w:t>
            </w:r>
            <w:r>
              <w:rPr>
                <w:rFonts w:ascii="New York" w:hAnsi="New York" w:eastAsia="Yu Mincho"/>
              </w:rPr>
              <w:t xml:space="preserve"> CORESET with index 0 that is associated with the Type0-PDCCH CSS set </w:t>
            </w:r>
            <w:r>
              <w:rPr>
                <w:rFonts w:ascii="New York" w:hAnsi="New York"/>
              </w:rPr>
              <w:t>for PDCCH and PDSCH receptions providing MCCH and MTCH</w:t>
            </w:r>
            <w:r>
              <w:rPr>
                <w:rFonts w:ascii="New York" w:hAnsi="New York" w:eastAsia="Yu Mincho"/>
              </w:rPr>
              <w:t xml:space="preserve">. </w:t>
            </w:r>
          </w:p>
          <w:p>
            <w:pPr>
              <w:spacing w:before="0" w:after="0" w:line="240" w:lineRule="auto"/>
              <w:rPr>
                <w:rFonts w:ascii="New York" w:hAnsi="New York"/>
              </w:rPr>
            </w:pPr>
            <w:r>
              <w:rPr>
                <w:rFonts w:ascii="New York" w:hAnsi="New York"/>
              </w:rPr>
              <w:t xml:space="preserve">In clauses referring to a higher layer parameter value provided by </w:t>
            </w:r>
            <w:r>
              <w:rPr>
                <w:rFonts w:ascii="New York" w:hAnsi="New York"/>
                <w:i/>
                <w:iCs/>
              </w:rPr>
              <w:t>PDCCH-ConfigCommon</w:t>
            </w:r>
            <w:r>
              <w:rPr>
                <w:rFonts w:ascii="New York" w:hAnsi="New York"/>
              </w:rPr>
              <w:t xml:space="preserve"> or </w:t>
            </w:r>
            <w:r>
              <w:rPr>
                <w:rFonts w:ascii="New York" w:hAnsi="New York"/>
                <w:i/>
                <w:iCs/>
              </w:rPr>
              <w:t>PDSCH-ConfigCommon</w:t>
            </w:r>
            <w:r>
              <w:rPr>
                <w:rFonts w:ascii="New York" w:hAnsi="New York"/>
              </w:rPr>
              <w:t>, when applicable a corresponding higher layer parameter value for MCCH/MTCH PDCCH receptions or PDSCH receptions, respectively, is provided as described in [12, TS 38.331].</w:t>
            </w:r>
          </w:p>
          <w:p>
            <w:pPr>
              <w:spacing w:before="0" w:after="0" w:line="240" w:lineRule="auto"/>
              <w:rPr>
                <w:rFonts w:ascii="New York" w:hAnsi="New York"/>
                <w:strike/>
                <w:color w:val="FF0000"/>
              </w:rPr>
            </w:pPr>
            <w:r>
              <w:rPr>
                <w:rFonts w:ascii="New York" w:hAnsi="New York"/>
                <w:strike/>
                <w:color w:val="FF0000"/>
              </w:rPr>
              <w:t xml:space="preserve">A UE can be configured by </w:t>
            </w:r>
            <w:r>
              <w:rPr>
                <w:rFonts w:ascii="New York" w:hAnsi="New York"/>
                <w:i/>
                <w:iCs/>
                <w:strike/>
                <w:color w:val="FF0000"/>
              </w:rPr>
              <w:t>cfr-Config-Broadcast</w:t>
            </w:r>
            <w:r>
              <w:rPr>
                <w:rFonts w:ascii="New York" w:hAnsi="New York"/>
                <w:strike/>
                <w:color w:val="FF0000"/>
              </w:rPr>
              <w:t>, an MBS frequency resource within the initial DL BWP for PDCCH and PDSCH receptions [4, TS 38.211]</w:t>
            </w:r>
            <w:r>
              <w:rPr>
                <w:rFonts w:ascii="New York" w:hAnsi="New York" w:eastAsia="等线"/>
                <w:strike/>
                <w:color w:val="FF0000"/>
              </w:rPr>
              <w:t xml:space="preserve">. If </w:t>
            </w:r>
            <w:r>
              <w:rPr>
                <w:rFonts w:ascii="New York" w:hAnsi="New York"/>
                <w:i/>
                <w:iCs/>
                <w:strike/>
                <w:color w:val="FF0000"/>
              </w:rPr>
              <w:t>cfr-Config- Broadcast</w:t>
            </w:r>
            <w:r>
              <w:rPr>
                <w:rFonts w:ascii="New York" w:hAnsi="New York"/>
                <w:strike/>
                <w:color w:val="FF0000"/>
              </w:rPr>
              <w:t xml:space="preserve"> does not include </w:t>
            </w:r>
            <w:r>
              <w:rPr>
                <w:rFonts w:ascii="New York" w:hAnsi="New York"/>
                <w:i/>
                <w:iCs/>
                <w:strike/>
                <w:color w:val="FF0000"/>
              </w:rPr>
              <w:t>locationAndBandwidth-Broadcast</w:t>
            </w:r>
            <w:r>
              <w:rPr>
                <w:rFonts w:ascii="New York" w:hAnsi="New York"/>
                <w:strike/>
                <w:color w:val="FF0000"/>
              </w:rPr>
              <w:t>, the MBS frequency resource is the initial DL BWP. A UE monitors PDCCH for scheduling PDSCH receptions for MCCH or MTCH as described in clause 10.1.</w:t>
            </w:r>
          </w:p>
          <w:p>
            <w:pPr>
              <w:spacing w:before="0" w:after="0" w:line="240" w:lineRule="auto"/>
              <w:rPr>
                <w:rFonts w:ascii="New York" w:hAnsi="New York"/>
              </w:rPr>
            </w:pPr>
            <w:r>
              <w:rPr>
                <w:rFonts w:ascii="New York" w:hAnsi="New York"/>
                <w:lang w:val="en-GB" w:eastAsia="zh-CN"/>
              </w:rPr>
              <w:t>---------------------------- Other parts are omitted. ----------------------------</w:t>
            </w:r>
          </w:p>
        </w:tc>
      </w:tr>
    </w:tbl>
    <w:p>
      <w:pPr>
        <w:rPr>
          <w:lang w:val="en-GB" w:eastAsia="zh-CN"/>
        </w:rPr>
      </w:pPr>
    </w:p>
    <w:p>
      <w:pPr>
        <w:pStyle w:val="3"/>
        <w:rPr>
          <w:lang w:eastAsia="zh-CN"/>
        </w:rPr>
      </w:pPr>
      <w:r>
        <w:rPr>
          <w:rFonts w:hint="eastAsia"/>
          <w:lang w:eastAsia="zh-CN"/>
        </w:rPr>
        <w:t>3</w:t>
      </w:r>
      <w:r>
        <w:rPr>
          <w:lang w:eastAsia="zh-CN"/>
        </w:rPr>
        <w:t>8.214 TP</w:t>
      </w:r>
    </w:p>
    <w:p>
      <w:pPr>
        <w:rPr>
          <w:lang w:val="en-GB" w:eastAsia="zh-CN"/>
        </w:rPr>
      </w:pPr>
      <w:r>
        <w:rPr>
          <w:rFonts w:hint="eastAsia"/>
          <w:lang w:val="en-GB" w:eastAsia="zh-CN"/>
        </w:rPr>
        <w:t>I</w:t>
      </w:r>
      <w:r>
        <w:rPr>
          <w:lang w:val="en-GB" w:eastAsia="zh-CN"/>
        </w:rPr>
        <w:t>n RAN1#107-e meeting, it was agreed that if PDCCH/PDSCH configuration for MTCH is not configured, the PDCCH/PDSCH configuration for MCCH will be applied. Thus, if TDRA table for MTCH is not configured, UE will reuse that for MCCH. This can be reflected by the following TP for 38.214.</w:t>
      </w:r>
    </w:p>
    <w:p>
      <w:pPr>
        <w:rPr>
          <w:i/>
          <w:lang w:val="en-GB" w:eastAsia="zh-CN"/>
        </w:rPr>
      </w:pPr>
      <w:r>
        <w:rPr>
          <w:b/>
          <w:i/>
          <w:lang w:val="en-GB" w:eastAsia="zh-CN"/>
        </w:rPr>
        <w:t>Proposal 3</w:t>
      </w:r>
      <w:r>
        <w:rPr>
          <w:i/>
          <w:lang w:val="en-GB" w:eastAsia="zh-CN"/>
        </w:rPr>
        <w:t>: Adopt the following TP for Section 5.1.2.1 of TS38.214.</w:t>
      </w:r>
    </w:p>
    <w:tbl>
      <w:tblPr>
        <w:tblStyle w:val="5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1"/>
        <w:gridCol w:w="1121"/>
        <w:gridCol w:w="676"/>
        <w:gridCol w:w="1145"/>
        <w:gridCol w:w="1145"/>
        <w:gridCol w:w="1029"/>
        <w:gridCol w:w="1029"/>
        <w:gridCol w:w="2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pct"/>
            <w:vMerge w:val="restart"/>
            <w:tcBorders>
              <w:top w:val="single" w:color="auto" w:sz="4" w:space="0"/>
              <w:left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lang w:eastAsia="zh-CN"/>
              </w:rPr>
            </w:pPr>
            <w:r>
              <w:rPr>
                <w:rFonts w:eastAsia="Batang" w:cs="Arial"/>
                <w:color w:val="000000"/>
                <w:sz w:val="20"/>
              </w:rPr>
              <w:t xml:space="preserve">MCCH-RNTI </w:t>
            </w:r>
          </w:p>
        </w:tc>
        <w:tc>
          <w:tcPr>
            <w:tcW w:w="569" w:type="pct"/>
            <w:vMerge w:val="restart"/>
            <w:tcBorders>
              <w:top w:val="single" w:color="auto" w:sz="4" w:space="0"/>
              <w:left w:val="nil"/>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Type 0/0B common for broadcast</w:t>
            </w:r>
          </w:p>
        </w:tc>
        <w:tc>
          <w:tcPr>
            <w:tcW w:w="34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1</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31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pct"/>
            <w:vMerge w:val="continue"/>
            <w:tcBorders>
              <w:left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p>
        </w:tc>
        <w:tc>
          <w:tcPr>
            <w:tcW w:w="569" w:type="pct"/>
            <w:vMerge w:val="continue"/>
            <w:tcBorders>
              <w:left w:val="nil"/>
              <w:right w:val="single" w:color="auto" w:sz="4" w:space="0"/>
            </w:tcBorders>
          </w:tcPr>
          <w:p>
            <w:pPr>
              <w:pStyle w:val="64"/>
              <w:keepNext w:val="0"/>
              <w:keepLines w:val="0"/>
              <w:widowControl w:val="0"/>
              <w:spacing w:before="0" w:line="240" w:lineRule="auto"/>
              <w:rPr>
                <w:rFonts w:eastAsia="Batang" w:cs="Arial"/>
                <w:color w:val="000000"/>
                <w:sz w:val="20"/>
              </w:rPr>
            </w:pPr>
          </w:p>
        </w:tc>
        <w:tc>
          <w:tcPr>
            <w:tcW w:w="34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2</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31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Default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pct"/>
            <w:vMerge w:val="continue"/>
            <w:tcBorders>
              <w:left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p>
        </w:tc>
        <w:tc>
          <w:tcPr>
            <w:tcW w:w="569" w:type="pct"/>
            <w:vMerge w:val="continue"/>
            <w:tcBorders>
              <w:left w:val="nil"/>
              <w:right w:val="single" w:color="auto" w:sz="4" w:space="0"/>
            </w:tcBorders>
          </w:tcPr>
          <w:p>
            <w:pPr>
              <w:pStyle w:val="64"/>
              <w:keepNext w:val="0"/>
              <w:keepLines w:val="0"/>
              <w:widowControl w:val="0"/>
              <w:spacing w:before="0" w:line="240" w:lineRule="auto"/>
              <w:rPr>
                <w:rFonts w:eastAsia="Batang" w:cs="Arial"/>
                <w:color w:val="000000"/>
                <w:sz w:val="20"/>
              </w:rPr>
            </w:pPr>
          </w:p>
        </w:tc>
        <w:tc>
          <w:tcPr>
            <w:tcW w:w="34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3</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31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Default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pct"/>
            <w:vMerge w:val="continue"/>
            <w:tcBorders>
              <w:left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p>
        </w:tc>
        <w:tc>
          <w:tcPr>
            <w:tcW w:w="569" w:type="pct"/>
            <w:vMerge w:val="continue"/>
            <w:tcBorders>
              <w:left w:val="nil"/>
              <w:right w:val="single" w:color="auto" w:sz="4" w:space="0"/>
            </w:tcBorders>
          </w:tcPr>
          <w:p>
            <w:pPr>
              <w:pStyle w:val="64"/>
              <w:keepNext w:val="0"/>
              <w:keepLines w:val="0"/>
              <w:widowControl w:val="0"/>
              <w:spacing w:before="0" w:line="240" w:lineRule="auto"/>
              <w:rPr>
                <w:rFonts w:eastAsia="Batang" w:cs="Arial"/>
                <w:color w:val="000000"/>
                <w:sz w:val="20"/>
              </w:rPr>
            </w:pPr>
          </w:p>
        </w:tc>
        <w:tc>
          <w:tcPr>
            <w:tcW w:w="34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1,2,3</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Yes</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31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i/>
                <w:iCs/>
                <w:color w:val="000000"/>
                <w:sz w:val="20"/>
              </w:rPr>
              <w:t xml:space="preserve">pdsch-TimeDomainAllocationList </w:t>
            </w:r>
            <w:r>
              <w:rPr>
                <w:rFonts w:eastAsia="Batang" w:cs="Arial"/>
                <w:color w:val="000000"/>
                <w:sz w:val="20"/>
              </w:rPr>
              <w:t xml:space="preserve">provided in </w:t>
            </w:r>
            <w:r>
              <w:rPr>
                <w:rFonts w:eastAsia="Batang" w:cs="Arial"/>
                <w:i/>
                <w:iCs/>
                <w:color w:val="000000"/>
                <w:sz w:val="20"/>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pct"/>
            <w:vMerge w:val="continue"/>
            <w:tcBorders>
              <w:left w:val="single" w:color="auto" w:sz="4" w:space="0"/>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p>
        </w:tc>
        <w:tc>
          <w:tcPr>
            <w:tcW w:w="569" w:type="pct"/>
            <w:vMerge w:val="continue"/>
            <w:tcBorders>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p>
        </w:tc>
        <w:tc>
          <w:tcPr>
            <w:tcW w:w="34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1,2,3</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No/Yes</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Yes</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31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i/>
                <w:iCs/>
                <w:color w:val="000000"/>
                <w:sz w:val="20"/>
              </w:rPr>
              <w:t>pdsch-TimeDomainAllocationList provided in pdsch-Config-MCCH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pct"/>
            <w:vMerge w:val="restart"/>
            <w:tcBorders>
              <w:top w:val="single" w:color="auto" w:sz="4" w:space="0"/>
              <w:left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cs="Arial"/>
                <w:color w:val="000000"/>
                <w:sz w:val="20"/>
              </w:rPr>
              <w:t>G-RNTI for broadcast</w:t>
            </w:r>
          </w:p>
        </w:tc>
        <w:tc>
          <w:tcPr>
            <w:tcW w:w="569" w:type="pct"/>
            <w:vMerge w:val="restart"/>
            <w:tcBorders>
              <w:top w:val="single" w:color="auto" w:sz="4" w:space="0"/>
              <w:left w:val="nil"/>
              <w:right w:val="single" w:color="auto" w:sz="4" w:space="0"/>
            </w:tcBorders>
          </w:tcPr>
          <w:p>
            <w:pPr>
              <w:pStyle w:val="64"/>
              <w:keepNext w:val="0"/>
              <w:keepLines w:val="0"/>
              <w:widowControl w:val="0"/>
              <w:spacing w:before="0" w:line="240" w:lineRule="auto"/>
              <w:rPr>
                <w:rFonts w:eastAsia="Batang" w:cs="Arial"/>
                <w:color w:val="000000"/>
                <w:sz w:val="20"/>
              </w:rPr>
            </w:pPr>
            <w:r>
              <w:rPr>
                <w:rFonts w:cs="Arial"/>
                <w:color w:val="000000"/>
                <w:sz w:val="20"/>
              </w:rPr>
              <w:t xml:space="preserve">Type </w:t>
            </w:r>
            <w:r>
              <w:rPr>
                <w:rFonts w:eastAsia="Batang" w:cs="Arial"/>
                <w:color w:val="000000"/>
                <w:sz w:val="20"/>
              </w:rPr>
              <w:t>0/0B</w:t>
            </w:r>
            <w:r>
              <w:rPr>
                <w:rFonts w:cs="Arial"/>
                <w:color w:val="000000"/>
                <w:sz w:val="20"/>
              </w:rPr>
              <w:t xml:space="preserve"> common for broadcast</w:t>
            </w:r>
          </w:p>
        </w:tc>
        <w:tc>
          <w:tcPr>
            <w:tcW w:w="34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1</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31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pct"/>
            <w:vMerge w:val="continue"/>
            <w:tcBorders>
              <w:left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p>
        </w:tc>
        <w:tc>
          <w:tcPr>
            <w:tcW w:w="569" w:type="pct"/>
            <w:vMerge w:val="continue"/>
            <w:tcBorders>
              <w:left w:val="nil"/>
              <w:right w:val="single" w:color="auto" w:sz="4" w:space="0"/>
            </w:tcBorders>
          </w:tcPr>
          <w:p>
            <w:pPr>
              <w:pStyle w:val="64"/>
              <w:keepNext w:val="0"/>
              <w:keepLines w:val="0"/>
              <w:widowControl w:val="0"/>
              <w:spacing w:before="0" w:line="240" w:lineRule="auto"/>
              <w:rPr>
                <w:rFonts w:eastAsia="Batang" w:cs="Arial"/>
                <w:color w:val="000000"/>
                <w:sz w:val="20"/>
              </w:rPr>
            </w:pPr>
          </w:p>
        </w:tc>
        <w:tc>
          <w:tcPr>
            <w:tcW w:w="34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2</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31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Default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pct"/>
            <w:vMerge w:val="continue"/>
            <w:tcBorders>
              <w:left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p>
        </w:tc>
        <w:tc>
          <w:tcPr>
            <w:tcW w:w="569" w:type="pct"/>
            <w:vMerge w:val="continue"/>
            <w:tcBorders>
              <w:left w:val="nil"/>
              <w:right w:val="single" w:color="auto" w:sz="4" w:space="0"/>
            </w:tcBorders>
          </w:tcPr>
          <w:p>
            <w:pPr>
              <w:pStyle w:val="64"/>
              <w:keepNext w:val="0"/>
              <w:keepLines w:val="0"/>
              <w:widowControl w:val="0"/>
              <w:spacing w:before="0" w:line="240" w:lineRule="auto"/>
              <w:rPr>
                <w:rFonts w:eastAsia="Batang" w:cs="Arial"/>
                <w:color w:val="000000"/>
                <w:sz w:val="20"/>
              </w:rPr>
            </w:pPr>
          </w:p>
        </w:tc>
        <w:tc>
          <w:tcPr>
            <w:tcW w:w="34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3</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31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Default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pct"/>
            <w:vMerge w:val="continue"/>
            <w:tcBorders>
              <w:left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p>
        </w:tc>
        <w:tc>
          <w:tcPr>
            <w:tcW w:w="569" w:type="pct"/>
            <w:vMerge w:val="continue"/>
            <w:tcBorders>
              <w:left w:val="nil"/>
              <w:right w:val="single" w:color="auto" w:sz="4" w:space="0"/>
            </w:tcBorders>
          </w:tcPr>
          <w:p>
            <w:pPr>
              <w:pStyle w:val="64"/>
              <w:keepNext w:val="0"/>
              <w:keepLines w:val="0"/>
              <w:widowControl w:val="0"/>
              <w:spacing w:before="0" w:line="240" w:lineRule="auto"/>
              <w:rPr>
                <w:rFonts w:eastAsia="Batang" w:cs="Arial"/>
                <w:color w:val="000000"/>
                <w:sz w:val="20"/>
              </w:rPr>
            </w:pPr>
          </w:p>
        </w:tc>
        <w:tc>
          <w:tcPr>
            <w:tcW w:w="34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1,2,3</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Yes</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31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cs="Arial"/>
                <w:i/>
                <w:iCs/>
                <w:color w:val="000000"/>
                <w:sz w:val="20"/>
              </w:rPr>
              <w:t>pdsch-TimeDomainAllocationList</w:t>
            </w:r>
            <w:r>
              <w:rPr>
                <w:rFonts w:cs="Arial"/>
                <w:color w:val="000000"/>
                <w:sz w:val="20"/>
              </w:rPr>
              <w:t xml:space="preserve"> provided in </w:t>
            </w:r>
            <w:r>
              <w:rPr>
                <w:rFonts w:cs="Arial"/>
                <w:i/>
                <w:iCs/>
                <w:color w:val="000000"/>
                <w:sz w:val="20"/>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pct"/>
            <w:vMerge w:val="continue"/>
            <w:tcBorders>
              <w:left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p>
        </w:tc>
        <w:tc>
          <w:tcPr>
            <w:tcW w:w="569" w:type="pct"/>
            <w:vMerge w:val="continue"/>
            <w:tcBorders>
              <w:left w:val="nil"/>
              <w:right w:val="single" w:color="auto" w:sz="4" w:space="0"/>
            </w:tcBorders>
          </w:tcPr>
          <w:p>
            <w:pPr>
              <w:pStyle w:val="64"/>
              <w:keepNext w:val="0"/>
              <w:keepLines w:val="0"/>
              <w:widowControl w:val="0"/>
              <w:spacing w:before="0" w:line="240" w:lineRule="auto"/>
              <w:rPr>
                <w:rFonts w:eastAsia="Batang" w:cs="Arial"/>
                <w:color w:val="000000"/>
                <w:sz w:val="20"/>
              </w:rPr>
            </w:pPr>
          </w:p>
        </w:tc>
        <w:tc>
          <w:tcPr>
            <w:tcW w:w="34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1,2,3</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No/Yes</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Yes</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31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cs="Arial"/>
                <w:i/>
                <w:iCs/>
                <w:color w:val="FF0000"/>
                <w:sz w:val="20"/>
                <w:u w:val="single"/>
              </w:rPr>
              <w:t>pdsch-TimeDomainAllocationList</w:t>
            </w:r>
            <w:r>
              <w:rPr>
                <w:rFonts w:cs="Arial"/>
                <w:color w:val="FF0000"/>
                <w:sz w:val="20"/>
                <w:u w:val="single"/>
              </w:rPr>
              <w:t xml:space="preserve"> provided in </w:t>
            </w:r>
            <w:r>
              <w:rPr>
                <w:rFonts w:cs="Arial"/>
                <w:i/>
                <w:iCs/>
                <w:color w:val="FF0000"/>
                <w:sz w:val="20"/>
                <w:u w:val="single"/>
              </w:rPr>
              <w:t>PDSCH-Config-MTCH if configured, otherwise,</w:t>
            </w:r>
            <w:r>
              <w:rPr>
                <w:rFonts w:cs="Arial"/>
                <w:i/>
                <w:iCs/>
                <w:color w:val="000000"/>
                <w:sz w:val="20"/>
              </w:rPr>
              <w:t xml:space="preserve"> TimeDomainAllocationList</w:t>
            </w:r>
            <w:r>
              <w:rPr>
                <w:rFonts w:cs="Arial"/>
                <w:color w:val="000000"/>
                <w:sz w:val="20"/>
              </w:rPr>
              <w:t xml:space="preserve"> provided in </w:t>
            </w:r>
            <w:r>
              <w:rPr>
                <w:rFonts w:cs="Arial"/>
                <w:i/>
                <w:iCs/>
                <w:color w:val="000000"/>
                <w:sz w:val="20"/>
              </w:rPr>
              <w:t>PDSCH-Config-MCCH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pct"/>
            <w:vMerge w:val="continue"/>
            <w:tcBorders>
              <w:left w:val="single" w:color="auto" w:sz="4" w:space="0"/>
              <w:bottom w:val="single" w:color="auto" w:sz="4" w:space="0"/>
              <w:right w:val="single" w:color="auto" w:sz="4" w:space="0"/>
            </w:tcBorders>
          </w:tcPr>
          <w:p>
            <w:pPr>
              <w:pStyle w:val="64"/>
              <w:keepNext w:val="0"/>
              <w:keepLines w:val="0"/>
              <w:widowControl w:val="0"/>
              <w:spacing w:before="0" w:line="240" w:lineRule="auto"/>
              <w:rPr>
                <w:rFonts w:eastAsia="Batang" w:cs="Arial"/>
                <w:strike/>
                <w:color w:val="FF0000"/>
                <w:sz w:val="20"/>
              </w:rPr>
            </w:pPr>
          </w:p>
        </w:tc>
        <w:tc>
          <w:tcPr>
            <w:tcW w:w="569" w:type="pct"/>
            <w:vMerge w:val="continue"/>
            <w:tcBorders>
              <w:left w:val="nil"/>
              <w:bottom w:val="single" w:color="auto" w:sz="4" w:space="0"/>
              <w:right w:val="single" w:color="auto" w:sz="4" w:space="0"/>
            </w:tcBorders>
          </w:tcPr>
          <w:p>
            <w:pPr>
              <w:pStyle w:val="64"/>
              <w:keepNext w:val="0"/>
              <w:keepLines w:val="0"/>
              <w:widowControl w:val="0"/>
              <w:spacing w:before="0" w:line="240" w:lineRule="auto"/>
              <w:rPr>
                <w:rFonts w:eastAsia="Batang" w:cs="Arial"/>
                <w:strike/>
                <w:color w:val="FF0000"/>
                <w:sz w:val="20"/>
              </w:rPr>
            </w:pPr>
          </w:p>
        </w:tc>
        <w:tc>
          <w:tcPr>
            <w:tcW w:w="34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strike/>
                <w:color w:val="FF0000"/>
                <w:sz w:val="20"/>
              </w:rPr>
            </w:pPr>
            <w:r>
              <w:rPr>
                <w:rFonts w:eastAsia="Batang" w:cs="Arial"/>
                <w:strike/>
                <w:color w:val="FF0000"/>
                <w:sz w:val="20"/>
              </w:rPr>
              <w:t>1,2,3</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strike/>
                <w:color w:val="FF0000"/>
                <w:sz w:val="20"/>
              </w:rPr>
            </w:pPr>
            <w:r>
              <w:rPr>
                <w:rFonts w:eastAsia="Batang" w:cs="Arial"/>
                <w:strike/>
                <w:color w:val="FF0000"/>
                <w:sz w:val="20"/>
              </w:rPr>
              <w:t>No/Yes</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strike/>
                <w:color w:val="FF0000"/>
                <w:sz w:val="20"/>
              </w:rPr>
            </w:pPr>
            <w:r>
              <w:rPr>
                <w:rFonts w:eastAsia="Batang" w:cs="Arial"/>
                <w:strike/>
                <w:color w:val="FF0000"/>
                <w:sz w:val="20"/>
              </w:rPr>
              <w:t>-</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strike/>
                <w:color w:val="FF0000"/>
                <w:sz w:val="20"/>
              </w:rPr>
            </w:pPr>
            <w:r>
              <w:rPr>
                <w:rFonts w:eastAsia="Batang" w:cs="Arial"/>
                <w:strike/>
                <w:color w:val="FF0000"/>
                <w:sz w:val="20"/>
              </w:rPr>
              <w:t>Yes</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strike/>
                <w:color w:val="FF0000"/>
                <w:sz w:val="20"/>
              </w:rPr>
            </w:pPr>
            <w:r>
              <w:rPr>
                <w:rFonts w:eastAsia="Batang" w:cs="Arial"/>
                <w:i/>
                <w:iCs/>
                <w:strike/>
                <w:color w:val="FF0000"/>
                <w:sz w:val="20"/>
              </w:rPr>
              <w:t>-</w:t>
            </w:r>
          </w:p>
        </w:tc>
        <w:tc>
          <w:tcPr>
            <w:tcW w:w="131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strike/>
                <w:color w:val="FF0000"/>
                <w:sz w:val="20"/>
              </w:rPr>
            </w:pPr>
            <w:r>
              <w:rPr>
                <w:rFonts w:cs="Arial"/>
                <w:i/>
                <w:iCs/>
                <w:strike/>
                <w:color w:val="FF0000"/>
                <w:sz w:val="20"/>
              </w:rPr>
              <w:t>pdsch-TimeDomainAllocationList</w:t>
            </w:r>
            <w:r>
              <w:rPr>
                <w:rFonts w:cs="Arial"/>
                <w:strike/>
                <w:color w:val="FF0000"/>
                <w:sz w:val="20"/>
              </w:rPr>
              <w:t xml:space="preserve"> provided in </w:t>
            </w:r>
            <w:r>
              <w:rPr>
                <w:rFonts w:cs="Arial"/>
                <w:i/>
                <w:iCs/>
                <w:strike/>
                <w:color w:val="FF0000"/>
                <w:sz w:val="20"/>
              </w:rPr>
              <w:t>PDSCH-Config-MTCH</w:t>
            </w:r>
          </w:p>
        </w:tc>
      </w:tr>
    </w:tbl>
    <w:p>
      <w:pPr>
        <w:rPr>
          <w:lang w:val="en-GB" w:eastAsia="zh-CN"/>
        </w:rPr>
      </w:pPr>
    </w:p>
    <w:p>
      <w:pPr>
        <w:pStyle w:val="2"/>
        <w:rPr>
          <w:lang w:eastAsia="zh-CN"/>
        </w:rPr>
      </w:pPr>
      <w:r>
        <w:rPr>
          <w:rFonts w:hint="eastAsia"/>
          <w:lang w:eastAsia="zh-CN"/>
        </w:rPr>
        <w:t>C</w:t>
      </w:r>
      <w:r>
        <w:rPr>
          <w:lang w:eastAsia="zh-CN"/>
        </w:rPr>
        <w:t>onclusion</w:t>
      </w:r>
    </w:p>
    <w:p>
      <w:pPr>
        <w:rPr>
          <w:lang w:val="en-GB" w:eastAsia="zh-CN"/>
        </w:rPr>
      </w:pPr>
      <w:r>
        <w:rPr>
          <w:rFonts w:hint="eastAsia"/>
          <w:lang w:val="en-GB" w:eastAsia="zh-CN"/>
        </w:rPr>
        <w:t>I</w:t>
      </w:r>
      <w:r>
        <w:rPr>
          <w:lang w:val="en-GB" w:eastAsia="zh-CN"/>
        </w:rPr>
        <w:t>n this contribution, analysis and TPs for the remaining issues of broadcast reception are presented with the following proposals.</w:t>
      </w:r>
    </w:p>
    <w:p>
      <w:pPr>
        <w:rPr>
          <w:i/>
          <w:lang w:val="en-GB" w:eastAsia="zh-CN"/>
        </w:rPr>
      </w:pPr>
      <w:r>
        <w:rPr>
          <w:b/>
          <w:i/>
          <w:lang w:val="en-GB" w:eastAsia="zh-CN"/>
        </w:rPr>
        <w:t>Proposal 1</w:t>
      </w:r>
      <w:r>
        <w:rPr>
          <w:i/>
          <w:lang w:val="en-GB" w:eastAsia="zh-CN"/>
        </w:rPr>
        <w:t xml:space="preserve">: For RRC_IDLE/INACTIVE UEs, </w:t>
      </w:r>
      <w:r>
        <w:rPr>
          <w:i/>
          <w:lang w:eastAsia="zh-CN"/>
        </w:rPr>
        <w:t>a UE can support reception of MCCH/MTCH PDSCH that is overlapping with SSB in PCell, in which case the UE shall assume that the PRBs containing SSB transmission resources are not available for PDSCH in the OFDM symbols where SS/PBCH block is transmitted.</w:t>
      </w:r>
    </w:p>
    <w:p>
      <w:pPr>
        <w:numPr>
          <w:ilvl w:val="0"/>
          <w:numId w:val="11"/>
        </w:numPr>
        <w:spacing w:after="180"/>
        <w:ind w:left="420" w:leftChars="0" w:hanging="420" w:firstLineChars="0"/>
        <w:rPr>
          <w:rFonts w:ascii="Times New Roman" w:hAnsi="Times New Roman" w:cs="Times New Roman"/>
          <w:i/>
          <w:iCs/>
          <w:sz w:val="20"/>
          <w:szCs w:val="21"/>
          <w:lang w:val="en-GB"/>
        </w:rPr>
      </w:pPr>
      <w:r>
        <w:rPr>
          <w:rFonts w:ascii="Times New Roman" w:hAnsi="Times New Roman" w:cs="Times New Roman"/>
          <w:i/>
          <w:iCs/>
          <w:sz w:val="20"/>
          <w:szCs w:val="21"/>
          <w:lang w:val="en-GB"/>
        </w:rPr>
        <w:t xml:space="preserve">Adopt the following TP for </w:t>
      </w:r>
      <w:r>
        <w:rPr>
          <w:i/>
          <w:lang w:val="en-GB" w:eastAsia="zh-CN"/>
        </w:rPr>
        <w:t xml:space="preserve">Section </w:t>
      </w:r>
      <w:r>
        <w:rPr>
          <w:rFonts w:ascii="Times New Roman" w:hAnsi="Times New Roman" w:cs="Times New Roman"/>
          <w:i/>
          <w:iCs/>
          <w:sz w:val="20"/>
          <w:szCs w:val="21"/>
          <w:lang w:val="en-GB"/>
        </w:rPr>
        <w:t>5.1</w:t>
      </w:r>
      <w:r>
        <w:rPr>
          <w:rFonts w:hint="eastAsia" w:ascii="Times New Roman" w:hAnsi="Times New Roman" w:cs="Times New Roman"/>
          <w:i/>
          <w:iCs/>
          <w:sz w:val="20"/>
          <w:szCs w:val="21"/>
        </w:rPr>
        <w:t>.4</w:t>
      </w:r>
      <w:r>
        <w:rPr>
          <w:rFonts w:ascii="Times New Roman" w:hAnsi="Times New Roman" w:cs="Times New Roman"/>
          <w:i/>
          <w:iCs/>
          <w:sz w:val="20"/>
          <w:szCs w:val="21"/>
          <w:lang w:val="en-GB"/>
        </w:rPr>
        <w:t xml:space="preserve"> of TS38.214.</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pStyle w:val="4"/>
              <w:numPr>
                <w:ilvl w:val="-1"/>
                <w:numId w:val="0"/>
              </w:numPr>
              <w:spacing w:line="280" w:lineRule="atLeast"/>
              <w:ind w:left="0" w:firstLine="0"/>
              <w:jc w:val="both"/>
              <w:outlineLvl w:val="2"/>
              <w:rPr>
                <w:color w:val="000000"/>
              </w:rPr>
            </w:pPr>
            <w:r>
              <w:rPr>
                <w:color w:val="000000"/>
              </w:rPr>
              <w:t>5.1.4</w:t>
            </w:r>
            <w:r>
              <w:rPr>
                <w:color w:val="000000"/>
              </w:rPr>
              <w:tab/>
            </w:r>
            <w:r>
              <w:rPr>
                <w:color w:val="000000"/>
              </w:rPr>
              <w:t>PDSCH resource mapping</w:t>
            </w:r>
          </w:p>
          <w:p>
            <w:pPr>
              <w:spacing w:before="120" w:after="120" w:afterLines="50" w:line="280" w:lineRule="atLeast"/>
              <w:rPr>
                <w:rFonts w:ascii="Times New Roman" w:hAnsi="Times New Roman" w:cs="Times New Roman"/>
                <w:sz w:val="20"/>
                <w:szCs w:val="20"/>
              </w:rPr>
            </w:pPr>
            <w:r>
              <w:rPr>
                <w:rFonts w:ascii="Times New Roman" w:hAnsi="Times New Roman" w:cs="Times New Roman"/>
                <w:sz w:val="20"/>
                <w:szCs w:val="20"/>
              </w:rPr>
              <w:t xml:space="preserve">When receiving the PDSCH </w:t>
            </w:r>
            <w:r>
              <w:rPr>
                <w:rFonts w:ascii="Times New Roman" w:hAnsi="Times New Roman" w:cs="Times New Roman"/>
                <w:color w:val="000000"/>
                <w:sz w:val="20"/>
                <w:szCs w:val="20"/>
              </w:rPr>
              <w:t>scheduled with SI-RNTI and the system information indicator in DCI is set to 0</w:t>
            </w:r>
            <w:r>
              <w:rPr>
                <w:rFonts w:ascii="Times New Roman" w:hAnsi="Times New Roman" w:cs="Times New Roman"/>
                <w:sz w:val="20"/>
                <w:szCs w:val="20"/>
              </w:rPr>
              <w:t>, the UE shall assume that no SS/PBCH block is transmitted in REs used by the UE for a reception of the PDSCH.</w:t>
            </w:r>
          </w:p>
          <w:p>
            <w:pPr>
              <w:spacing w:before="120" w:after="120" w:afterLines="50" w:line="280" w:lineRule="atLeast"/>
              <w:rPr>
                <w:rFonts w:ascii="Times New Roman" w:hAnsi="Times New Roman" w:cs="Times New Roman"/>
                <w:sz w:val="20"/>
                <w:szCs w:val="20"/>
              </w:rPr>
            </w:pPr>
            <w:r>
              <w:rPr>
                <w:rFonts w:ascii="Times New Roman" w:hAnsi="Times New Roman" w:cs="Times New Roman"/>
                <w:sz w:val="20"/>
                <w:szCs w:val="20"/>
              </w:rPr>
              <w:t xml:space="preserve">When receiving the PDSCH </w:t>
            </w:r>
            <w:r>
              <w:rPr>
                <w:rFonts w:ascii="Times New Roman" w:hAnsi="Times New Roman" w:cs="Times New Roman"/>
                <w:color w:val="000000"/>
                <w:sz w:val="20"/>
                <w:szCs w:val="20"/>
              </w:rPr>
              <w:t>scheduled with SI-RNTI and the system information indicator in DCI is set to 1, RA-RNTI, MSGB-RNTI</w:t>
            </w:r>
            <w:r>
              <w:rPr>
                <w:rStyle w:val="58"/>
                <w:rFonts w:ascii="Times New Roman" w:hAnsi="Times New Roman" w:cs="Times New Roman"/>
                <w:sz w:val="20"/>
                <w:szCs w:val="20"/>
              </w:rPr>
              <w:t xml:space="preserve">, </w:t>
            </w:r>
            <w:r>
              <w:rPr>
                <w:rFonts w:ascii="Times New Roman" w:hAnsi="Times New Roman" w:cs="Times New Roman"/>
                <w:color w:val="000000"/>
                <w:sz w:val="20"/>
                <w:szCs w:val="20"/>
              </w:rPr>
              <w:t>P-RNTI</w:t>
            </w:r>
            <w:r>
              <w:rPr>
                <w:rFonts w:hint="eastAsia" w:ascii="Times New Roman" w:hAnsi="Times New Roman" w:cs="Times New Roman"/>
                <w:color w:val="FF0000"/>
                <w:sz w:val="20"/>
                <w:szCs w:val="20"/>
                <w:u w:val="single"/>
              </w:rPr>
              <w:t>,</w:t>
            </w:r>
            <w:r>
              <w:rPr>
                <w:rFonts w:ascii="Times New Roman" w:hAnsi="Times New Roman" w:cs="Times New Roman"/>
                <w:strike/>
                <w:color w:val="FF0000"/>
                <w:sz w:val="20"/>
                <w:szCs w:val="20"/>
              </w:rPr>
              <w:t xml:space="preserve"> or</w:t>
            </w:r>
            <w:r>
              <w:rPr>
                <w:rFonts w:ascii="Times New Roman" w:hAnsi="Times New Roman" w:cs="Times New Roman"/>
                <w:color w:val="000000"/>
                <w:sz w:val="20"/>
                <w:szCs w:val="20"/>
              </w:rPr>
              <w:t xml:space="preserve"> TC-RNTI</w:t>
            </w:r>
            <w:r>
              <w:rPr>
                <w:rFonts w:hint="eastAsia" w:ascii="Times New Roman" w:hAnsi="Times New Roman" w:cs="Times New Roman"/>
                <w:color w:val="FF0000"/>
                <w:sz w:val="20"/>
                <w:szCs w:val="20"/>
                <w:u w:val="single"/>
              </w:rPr>
              <w:t xml:space="preserve">, MCCH-RNTI or G-RNTI for </w:t>
            </w:r>
            <w:r>
              <w:rPr>
                <w:rFonts w:hint="eastAsia" w:ascii="Times New Roman" w:hAnsi="Times New Roman" w:cs="Times New Roman"/>
                <w:color w:val="FF0000"/>
                <w:sz w:val="20"/>
                <w:szCs w:val="20"/>
                <w:u w:val="single"/>
                <w:lang w:val="en-US" w:eastAsia="zh-CN"/>
              </w:rPr>
              <w:t>MTCH</w:t>
            </w:r>
            <w:r>
              <w:rPr>
                <w:rFonts w:ascii="Times New Roman" w:hAnsi="Times New Roman" w:cs="Times New Roman"/>
                <w:sz w:val="20"/>
                <w:szCs w:val="20"/>
              </w:rPr>
              <w:t xml:space="preserve">, the UE assumes SS/PBCH block transmission according to </w:t>
            </w:r>
            <w:r>
              <w:rPr>
                <w:rFonts w:ascii="Times New Roman" w:hAnsi="Times New Roman" w:cs="Times New Roman"/>
                <w:i/>
                <w:color w:val="000000"/>
                <w:sz w:val="20"/>
                <w:szCs w:val="20"/>
              </w:rPr>
              <w:t>ssb-PositionsInBurst</w:t>
            </w:r>
            <w:r>
              <w:rPr>
                <w:rFonts w:ascii="Times New Roman" w:hAnsi="Times New Roman" w:cs="Times New Roman"/>
                <w:sz w:val="20"/>
                <w:szCs w:val="20"/>
              </w:rPr>
              <w:t xml:space="preserve">, and if the PDSCH resource allocation overlaps with PRBs containing SS/PBCH block transmission resources the UE shall assume that </w:t>
            </w:r>
            <w:r>
              <w:rPr>
                <w:rFonts w:ascii="Times New Roman" w:hAnsi="Times New Roman" w:cs="Times New Roman"/>
                <w:color w:val="000000"/>
                <w:sz w:val="20"/>
                <w:szCs w:val="20"/>
              </w:rPr>
              <w:t>the PRBs containing SS/PBCH block transmission resources are not available for PDSCH</w:t>
            </w:r>
            <w:r>
              <w:rPr>
                <w:rFonts w:ascii="Times New Roman" w:hAnsi="Times New Roman" w:cs="Times New Roman"/>
                <w:sz w:val="20"/>
                <w:szCs w:val="20"/>
              </w:rPr>
              <w:t xml:space="preserve"> in the OFDM symbols where SS/PBCH block is transmitted.</w:t>
            </w:r>
          </w:p>
          <w:p>
            <w:pPr>
              <w:spacing w:before="120" w:after="120" w:afterLines="50" w:line="280" w:lineRule="atLeast"/>
              <w:jc w:val="center"/>
              <w:rPr>
                <w:rFonts w:ascii="Times New Roman" w:hAnsi="Times New Roman" w:cs="Times New Roman"/>
                <w:sz w:val="20"/>
                <w:szCs w:val="20"/>
              </w:rPr>
            </w:pPr>
            <w:r>
              <w:rPr>
                <w:b/>
                <w:iCs/>
                <w:color w:val="FF0000"/>
                <w:sz w:val="20"/>
                <w:szCs w:val="20"/>
              </w:rPr>
              <w:t>&lt;Unchanged parts are omitted&gt;</w:t>
            </w:r>
          </w:p>
        </w:tc>
      </w:tr>
    </w:tbl>
    <w:p>
      <w:pPr>
        <w:rPr>
          <w:b/>
          <w:i/>
          <w:lang w:val="en-GB" w:eastAsia="zh-CN"/>
        </w:rPr>
      </w:pPr>
    </w:p>
    <w:p>
      <w:pPr>
        <w:rPr>
          <w:i/>
          <w:lang w:val="en-GB" w:eastAsia="zh-CN"/>
        </w:rPr>
      </w:pPr>
      <w:r>
        <w:rPr>
          <w:b/>
          <w:i/>
          <w:lang w:val="en-GB" w:eastAsia="zh-CN"/>
        </w:rPr>
        <w:t>Proposal 2</w:t>
      </w:r>
      <w:r>
        <w:rPr>
          <w:i/>
          <w:lang w:val="en-GB" w:eastAsia="zh-CN"/>
        </w:rPr>
        <w:t xml:space="preserve">: Adopt the following TP for </w:t>
      </w:r>
      <w:bookmarkStart w:id="13" w:name="OLE_LINK2"/>
      <w:r>
        <w:rPr>
          <w:i/>
          <w:lang w:val="en-GB" w:eastAsia="zh-CN"/>
        </w:rPr>
        <w:t xml:space="preserve">Section </w:t>
      </w:r>
      <w:bookmarkEnd w:id="13"/>
      <w:r>
        <w:rPr>
          <w:i/>
          <w:lang w:val="en-GB" w:eastAsia="zh-CN"/>
        </w:rPr>
        <w:t>18 of TS38.213.</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rPr>
                <w:rFonts w:ascii="New York" w:hAnsi="New York"/>
                <w:b/>
                <w:sz w:val="21"/>
              </w:rPr>
            </w:pPr>
            <w:r>
              <w:rPr>
                <w:rFonts w:ascii="New York" w:hAnsi="New York"/>
                <w:b/>
                <w:sz w:val="21"/>
              </w:rPr>
              <w:t>18</w:t>
            </w:r>
            <w:r>
              <w:rPr>
                <w:rFonts w:ascii="New York" w:hAnsi="New York"/>
                <w:b/>
                <w:sz w:val="21"/>
              </w:rPr>
              <w:tab/>
            </w:r>
            <w:r>
              <w:rPr>
                <w:rFonts w:ascii="New York" w:hAnsi="New York"/>
                <w:b/>
                <w:sz w:val="21"/>
              </w:rPr>
              <w:t xml:space="preserve">  Multicast Broadcast Services</w:t>
            </w:r>
          </w:p>
          <w:p>
            <w:pPr>
              <w:spacing w:before="0" w:after="0" w:line="240" w:lineRule="auto"/>
              <w:rPr>
                <w:rFonts w:ascii="New York" w:hAnsi="New York"/>
              </w:rPr>
            </w:pPr>
            <w:r>
              <w:rPr>
                <w:rFonts w:ascii="New York" w:hAnsi="New York"/>
              </w:rPr>
              <w:t>---------------------------- Other parts are omitted. ----------------------------</w:t>
            </w:r>
          </w:p>
          <w:p>
            <w:pPr>
              <w:spacing w:before="0" w:after="0" w:line="240" w:lineRule="auto"/>
              <w:rPr>
                <w:rFonts w:ascii="New York" w:hAnsi="New York" w:eastAsia="等线"/>
                <w:lang w:eastAsia="zh-CN"/>
              </w:rPr>
            </w:pPr>
            <w:r>
              <w:rPr>
                <w:rFonts w:ascii="New York" w:hAnsi="New York"/>
              </w:rPr>
              <w:t xml:space="preserve">A UE can be configured by </w:t>
            </w:r>
            <w:r>
              <w:rPr>
                <w:rFonts w:ascii="New York" w:hAnsi="New York"/>
                <w:i/>
                <w:iCs/>
              </w:rPr>
              <w:t>cfr-Config-MCCH-MTCH</w:t>
            </w:r>
            <w:r>
              <w:rPr>
                <w:rFonts w:ascii="New York" w:hAnsi="New York"/>
              </w:rPr>
              <w:t xml:space="preserve"> an MBS frequency resource for PDCCH and PDSCH receptions providing MCCH and MTCH [12, TS 38.331]; otherwise, the MBS frequency resource is same as for the</w:t>
            </w:r>
            <w:r>
              <w:rPr>
                <w:rFonts w:ascii="New York" w:hAnsi="New York" w:eastAsia="Yu Mincho"/>
              </w:rPr>
              <w:t xml:space="preserve"> CORESET with index 0 that is associated with the Type0-PDCCH CSS set </w:t>
            </w:r>
            <w:r>
              <w:rPr>
                <w:rFonts w:ascii="New York" w:hAnsi="New York"/>
              </w:rPr>
              <w:t>for PDCCH and PDSCH receptions providing MCCH and MTCH</w:t>
            </w:r>
            <w:r>
              <w:rPr>
                <w:rFonts w:ascii="New York" w:hAnsi="New York" w:eastAsia="Yu Mincho"/>
              </w:rPr>
              <w:t xml:space="preserve">. </w:t>
            </w:r>
          </w:p>
          <w:p>
            <w:pPr>
              <w:spacing w:before="0" w:after="0" w:line="240" w:lineRule="auto"/>
              <w:rPr>
                <w:rFonts w:ascii="New York" w:hAnsi="New York"/>
              </w:rPr>
            </w:pPr>
            <w:r>
              <w:rPr>
                <w:rFonts w:ascii="New York" w:hAnsi="New York"/>
              </w:rPr>
              <w:t xml:space="preserve">In clauses referring to a higher layer parameter value provided by </w:t>
            </w:r>
            <w:r>
              <w:rPr>
                <w:rFonts w:ascii="New York" w:hAnsi="New York"/>
                <w:i/>
                <w:iCs/>
              </w:rPr>
              <w:t>PDCCH-ConfigCommon</w:t>
            </w:r>
            <w:r>
              <w:rPr>
                <w:rFonts w:ascii="New York" w:hAnsi="New York"/>
              </w:rPr>
              <w:t xml:space="preserve"> or </w:t>
            </w:r>
            <w:r>
              <w:rPr>
                <w:rFonts w:ascii="New York" w:hAnsi="New York"/>
                <w:i/>
                <w:iCs/>
              </w:rPr>
              <w:t>PDSCH-ConfigCommon</w:t>
            </w:r>
            <w:r>
              <w:rPr>
                <w:rFonts w:ascii="New York" w:hAnsi="New York"/>
              </w:rPr>
              <w:t>, when applicable a corresponding higher layer parameter value for MCCH/MTCH PDCCH receptions or PDSCH receptions, respectively, is provided as described in [12, TS 38.331].</w:t>
            </w:r>
          </w:p>
          <w:p>
            <w:pPr>
              <w:spacing w:before="0" w:after="0" w:line="240" w:lineRule="auto"/>
              <w:rPr>
                <w:rFonts w:ascii="New York" w:hAnsi="New York"/>
                <w:strike/>
                <w:color w:val="FF0000"/>
              </w:rPr>
            </w:pPr>
            <w:r>
              <w:rPr>
                <w:rFonts w:ascii="New York" w:hAnsi="New York"/>
                <w:strike/>
                <w:color w:val="FF0000"/>
              </w:rPr>
              <w:t xml:space="preserve">A UE can be configured by </w:t>
            </w:r>
            <w:r>
              <w:rPr>
                <w:rFonts w:ascii="New York" w:hAnsi="New York"/>
                <w:i/>
                <w:iCs/>
                <w:strike/>
                <w:color w:val="FF0000"/>
              </w:rPr>
              <w:t>cfr-Config-Broadcast</w:t>
            </w:r>
            <w:r>
              <w:rPr>
                <w:rFonts w:ascii="New York" w:hAnsi="New York"/>
                <w:strike/>
                <w:color w:val="FF0000"/>
              </w:rPr>
              <w:t>, an MBS frequency resource within the initial DL BWP for PDCCH and PDSCH receptions [4, TS 38.211]</w:t>
            </w:r>
            <w:r>
              <w:rPr>
                <w:rFonts w:ascii="New York" w:hAnsi="New York" w:eastAsia="等线"/>
                <w:strike/>
                <w:color w:val="FF0000"/>
              </w:rPr>
              <w:t xml:space="preserve">. If </w:t>
            </w:r>
            <w:r>
              <w:rPr>
                <w:rFonts w:ascii="New York" w:hAnsi="New York"/>
                <w:i/>
                <w:iCs/>
                <w:strike/>
                <w:color w:val="FF0000"/>
              </w:rPr>
              <w:t>cfr-Config- Broadcast</w:t>
            </w:r>
            <w:r>
              <w:rPr>
                <w:rFonts w:ascii="New York" w:hAnsi="New York"/>
                <w:strike/>
                <w:color w:val="FF0000"/>
              </w:rPr>
              <w:t xml:space="preserve"> does not include </w:t>
            </w:r>
            <w:r>
              <w:rPr>
                <w:rFonts w:ascii="New York" w:hAnsi="New York"/>
                <w:i/>
                <w:iCs/>
                <w:strike/>
                <w:color w:val="FF0000"/>
              </w:rPr>
              <w:t>locationAndBandwidth-Broadcast</w:t>
            </w:r>
            <w:r>
              <w:rPr>
                <w:rFonts w:ascii="New York" w:hAnsi="New York"/>
                <w:strike/>
                <w:color w:val="FF0000"/>
              </w:rPr>
              <w:t>, the MBS frequency resource is the initial DL BWP. A UE monitors PDCCH for scheduling PDSCH receptions for MCCH or MTCH as described in clause 10.1.</w:t>
            </w:r>
          </w:p>
          <w:p>
            <w:pPr>
              <w:spacing w:before="0" w:after="0" w:line="240" w:lineRule="auto"/>
              <w:rPr>
                <w:rFonts w:ascii="New York" w:hAnsi="New York"/>
              </w:rPr>
            </w:pPr>
            <w:r>
              <w:rPr>
                <w:rFonts w:ascii="New York" w:hAnsi="New York"/>
                <w:lang w:val="en-GB" w:eastAsia="zh-CN"/>
              </w:rPr>
              <w:t>---------------------------- Other parts are omitted. ----------------------------</w:t>
            </w:r>
          </w:p>
        </w:tc>
      </w:tr>
    </w:tbl>
    <w:p>
      <w:pPr>
        <w:rPr>
          <w:lang w:val="en-GB" w:eastAsia="zh-CN"/>
        </w:rPr>
      </w:pPr>
    </w:p>
    <w:p>
      <w:pPr>
        <w:rPr>
          <w:i/>
          <w:lang w:val="en-GB" w:eastAsia="zh-CN"/>
        </w:rPr>
      </w:pPr>
      <w:r>
        <w:rPr>
          <w:b/>
          <w:i/>
          <w:lang w:val="en-GB" w:eastAsia="zh-CN"/>
        </w:rPr>
        <w:t>Proposal 3</w:t>
      </w:r>
      <w:r>
        <w:rPr>
          <w:i/>
          <w:lang w:val="en-GB" w:eastAsia="zh-CN"/>
        </w:rPr>
        <w:t>: Adopt the following TP for Section 5.1.2.1 of TS38.214.</w:t>
      </w:r>
    </w:p>
    <w:tbl>
      <w:tblPr>
        <w:tblStyle w:val="5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1"/>
        <w:gridCol w:w="1121"/>
        <w:gridCol w:w="676"/>
        <w:gridCol w:w="1145"/>
        <w:gridCol w:w="1145"/>
        <w:gridCol w:w="1029"/>
        <w:gridCol w:w="1029"/>
        <w:gridCol w:w="2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pct"/>
            <w:vMerge w:val="restart"/>
            <w:tcBorders>
              <w:top w:val="single" w:color="auto" w:sz="4" w:space="0"/>
              <w:left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lang w:eastAsia="zh-CN"/>
              </w:rPr>
            </w:pPr>
            <w:r>
              <w:rPr>
                <w:rFonts w:eastAsia="Batang" w:cs="Arial"/>
                <w:color w:val="000000"/>
                <w:sz w:val="20"/>
              </w:rPr>
              <w:t xml:space="preserve">MCCH-RNTI </w:t>
            </w:r>
          </w:p>
        </w:tc>
        <w:tc>
          <w:tcPr>
            <w:tcW w:w="569" w:type="pct"/>
            <w:vMerge w:val="restart"/>
            <w:tcBorders>
              <w:top w:val="single" w:color="auto" w:sz="4" w:space="0"/>
              <w:left w:val="nil"/>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Type 0/0B common for broadcast</w:t>
            </w:r>
          </w:p>
        </w:tc>
        <w:tc>
          <w:tcPr>
            <w:tcW w:w="34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1</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31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pct"/>
            <w:vMerge w:val="continue"/>
            <w:tcBorders>
              <w:left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p>
        </w:tc>
        <w:tc>
          <w:tcPr>
            <w:tcW w:w="569" w:type="pct"/>
            <w:vMerge w:val="continue"/>
            <w:tcBorders>
              <w:left w:val="nil"/>
              <w:right w:val="single" w:color="auto" w:sz="4" w:space="0"/>
            </w:tcBorders>
          </w:tcPr>
          <w:p>
            <w:pPr>
              <w:pStyle w:val="64"/>
              <w:keepNext w:val="0"/>
              <w:keepLines w:val="0"/>
              <w:widowControl w:val="0"/>
              <w:spacing w:before="0" w:line="240" w:lineRule="auto"/>
              <w:rPr>
                <w:rFonts w:eastAsia="Batang" w:cs="Arial"/>
                <w:color w:val="000000"/>
                <w:sz w:val="20"/>
              </w:rPr>
            </w:pPr>
          </w:p>
        </w:tc>
        <w:tc>
          <w:tcPr>
            <w:tcW w:w="34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2</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31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Default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pct"/>
            <w:vMerge w:val="continue"/>
            <w:tcBorders>
              <w:left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p>
        </w:tc>
        <w:tc>
          <w:tcPr>
            <w:tcW w:w="569" w:type="pct"/>
            <w:vMerge w:val="continue"/>
            <w:tcBorders>
              <w:left w:val="nil"/>
              <w:right w:val="single" w:color="auto" w:sz="4" w:space="0"/>
            </w:tcBorders>
          </w:tcPr>
          <w:p>
            <w:pPr>
              <w:pStyle w:val="64"/>
              <w:keepNext w:val="0"/>
              <w:keepLines w:val="0"/>
              <w:widowControl w:val="0"/>
              <w:spacing w:before="0" w:line="240" w:lineRule="auto"/>
              <w:rPr>
                <w:rFonts w:eastAsia="Batang" w:cs="Arial"/>
                <w:color w:val="000000"/>
                <w:sz w:val="20"/>
              </w:rPr>
            </w:pPr>
          </w:p>
        </w:tc>
        <w:tc>
          <w:tcPr>
            <w:tcW w:w="34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3</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31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Default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pct"/>
            <w:vMerge w:val="continue"/>
            <w:tcBorders>
              <w:left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p>
        </w:tc>
        <w:tc>
          <w:tcPr>
            <w:tcW w:w="569" w:type="pct"/>
            <w:vMerge w:val="continue"/>
            <w:tcBorders>
              <w:left w:val="nil"/>
              <w:right w:val="single" w:color="auto" w:sz="4" w:space="0"/>
            </w:tcBorders>
          </w:tcPr>
          <w:p>
            <w:pPr>
              <w:pStyle w:val="64"/>
              <w:keepNext w:val="0"/>
              <w:keepLines w:val="0"/>
              <w:widowControl w:val="0"/>
              <w:spacing w:before="0" w:line="240" w:lineRule="auto"/>
              <w:rPr>
                <w:rFonts w:eastAsia="Batang" w:cs="Arial"/>
                <w:color w:val="000000"/>
                <w:sz w:val="20"/>
              </w:rPr>
            </w:pPr>
          </w:p>
        </w:tc>
        <w:tc>
          <w:tcPr>
            <w:tcW w:w="34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1,2,3</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Yes</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31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i/>
                <w:iCs/>
                <w:color w:val="000000"/>
                <w:sz w:val="20"/>
              </w:rPr>
              <w:t xml:space="preserve">pdsch-TimeDomainAllocationList </w:t>
            </w:r>
            <w:r>
              <w:rPr>
                <w:rFonts w:eastAsia="Batang" w:cs="Arial"/>
                <w:color w:val="000000"/>
                <w:sz w:val="20"/>
              </w:rPr>
              <w:t xml:space="preserve">provided in </w:t>
            </w:r>
            <w:r>
              <w:rPr>
                <w:rFonts w:eastAsia="Batang" w:cs="Arial"/>
                <w:i/>
                <w:iCs/>
                <w:color w:val="000000"/>
                <w:sz w:val="20"/>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pct"/>
            <w:vMerge w:val="continue"/>
            <w:tcBorders>
              <w:left w:val="single" w:color="auto" w:sz="4" w:space="0"/>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p>
        </w:tc>
        <w:tc>
          <w:tcPr>
            <w:tcW w:w="569" w:type="pct"/>
            <w:vMerge w:val="continue"/>
            <w:tcBorders>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p>
        </w:tc>
        <w:tc>
          <w:tcPr>
            <w:tcW w:w="34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1,2,3</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No/Yes</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Yes</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31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i/>
                <w:iCs/>
                <w:color w:val="000000"/>
                <w:sz w:val="20"/>
              </w:rPr>
              <w:t>pdsch-TimeDomainAllocationList provided in pdsch-Config-MCCH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pct"/>
            <w:vMerge w:val="restart"/>
            <w:tcBorders>
              <w:top w:val="single" w:color="auto" w:sz="4" w:space="0"/>
              <w:left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cs="Arial"/>
                <w:color w:val="000000"/>
                <w:sz w:val="20"/>
              </w:rPr>
              <w:t>G-RNTI for broadcast</w:t>
            </w:r>
          </w:p>
        </w:tc>
        <w:tc>
          <w:tcPr>
            <w:tcW w:w="569" w:type="pct"/>
            <w:vMerge w:val="restart"/>
            <w:tcBorders>
              <w:top w:val="single" w:color="auto" w:sz="4" w:space="0"/>
              <w:left w:val="nil"/>
              <w:right w:val="single" w:color="auto" w:sz="4" w:space="0"/>
            </w:tcBorders>
          </w:tcPr>
          <w:p>
            <w:pPr>
              <w:pStyle w:val="64"/>
              <w:keepNext w:val="0"/>
              <w:keepLines w:val="0"/>
              <w:widowControl w:val="0"/>
              <w:spacing w:before="0" w:line="240" w:lineRule="auto"/>
              <w:rPr>
                <w:rFonts w:eastAsia="Batang" w:cs="Arial"/>
                <w:color w:val="000000"/>
                <w:sz w:val="20"/>
              </w:rPr>
            </w:pPr>
            <w:r>
              <w:rPr>
                <w:rFonts w:cs="Arial"/>
                <w:color w:val="000000"/>
                <w:sz w:val="20"/>
              </w:rPr>
              <w:t xml:space="preserve">Type </w:t>
            </w:r>
            <w:r>
              <w:rPr>
                <w:rFonts w:eastAsia="Batang" w:cs="Arial"/>
                <w:color w:val="000000"/>
                <w:sz w:val="20"/>
              </w:rPr>
              <w:t>0/0B</w:t>
            </w:r>
            <w:r>
              <w:rPr>
                <w:rFonts w:cs="Arial"/>
                <w:color w:val="000000"/>
                <w:sz w:val="20"/>
              </w:rPr>
              <w:t xml:space="preserve"> common for broadcast</w:t>
            </w:r>
          </w:p>
        </w:tc>
        <w:tc>
          <w:tcPr>
            <w:tcW w:w="34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1</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31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pct"/>
            <w:vMerge w:val="continue"/>
            <w:tcBorders>
              <w:left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p>
        </w:tc>
        <w:tc>
          <w:tcPr>
            <w:tcW w:w="569" w:type="pct"/>
            <w:vMerge w:val="continue"/>
            <w:tcBorders>
              <w:left w:val="nil"/>
              <w:right w:val="single" w:color="auto" w:sz="4" w:space="0"/>
            </w:tcBorders>
          </w:tcPr>
          <w:p>
            <w:pPr>
              <w:pStyle w:val="64"/>
              <w:keepNext w:val="0"/>
              <w:keepLines w:val="0"/>
              <w:widowControl w:val="0"/>
              <w:spacing w:before="0" w:line="240" w:lineRule="auto"/>
              <w:rPr>
                <w:rFonts w:eastAsia="Batang" w:cs="Arial"/>
                <w:color w:val="000000"/>
                <w:sz w:val="20"/>
              </w:rPr>
            </w:pPr>
          </w:p>
        </w:tc>
        <w:tc>
          <w:tcPr>
            <w:tcW w:w="34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2</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31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Default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pct"/>
            <w:vMerge w:val="continue"/>
            <w:tcBorders>
              <w:left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p>
        </w:tc>
        <w:tc>
          <w:tcPr>
            <w:tcW w:w="569" w:type="pct"/>
            <w:vMerge w:val="continue"/>
            <w:tcBorders>
              <w:left w:val="nil"/>
              <w:right w:val="single" w:color="auto" w:sz="4" w:space="0"/>
            </w:tcBorders>
          </w:tcPr>
          <w:p>
            <w:pPr>
              <w:pStyle w:val="64"/>
              <w:keepNext w:val="0"/>
              <w:keepLines w:val="0"/>
              <w:widowControl w:val="0"/>
              <w:spacing w:before="0" w:line="240" w:lineRule="auto"/>
              <w:rPr>
                <w:rFonts w:eastAsia="Batang" w:cs="Arial"/>
                <w:color w:val="000000"/>
                <w:sz w:val="20"/>
              </w:rPr>
            </w:pPr>
          </w:p>
        </w:tc>
        <w:tc>
          <w:tcPr>
            <w:tcW w:w="34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3</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31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Default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pct"/>
            <w:vMerge w:val="continue"/>
            <w:tcBorders>
              <w:left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p>
        </w:tc>
        <w:tc>
          <w:tcPr>
            <w:tcW w:w="569" w:type="pct"/>
            <w:vMerge w:val="continue"/>
            <w:tcBorders>
              <w:left w:val="nil"/>
              <w:right w:val="single" w:color="auto" w:sz="4" w:space="0"/>
            </w:tcBorders>
          </w:tcPr>
          <w:p>
            <w:pPr>
              <w:pStyle w:val="64"/>
              <w:keepNext w:val="0"/>
              <w:keepLines w:val="0"/>
              <w:widowControl w:val="0"/>
              <w:spacing w:before="0" w:line="240" w:lineRule="auto"/>
              <w:rPr>
                <w:rFonts w:eastAsia="Batang" w:cs="Arial"/>
                <w:color w:val="000000"/>
                <w:sz w:val="20"/>
              </w:rPr>
            </w:pPr>
          </w:p>
        </w:tc>
        <w:tc>
          <w:tcPr>
            <w:tcW w:w="34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1,2,3</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Yes</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31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cs="Arial"/>
                <w:i/>
                <w:iCs/>
                <w:color w:val="000000"/>
                <w:sz w:val="20"/>
              </w:rPr>
              <w:t>pdsch-TimeDomainAllocationList</w:t>
            </w:r>
            <w:r>
              <w:rPr>
                <w:rFonts w:cs="Arial"/>
                <w:color w:val="000000"/>
                <w:sz w:val="20"/>
              </w:rPr>
              <w:t xml:space="preserve"> provided in </w:t>
            </w:r>
            <w:r>
              <w:rPr>
                <w:rFonts w:cs="Arial"/>
                <w:i/>
                <w:iCs/>
                <w:color w:val="000000"/>
                <w:sz w:val="20"/>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pct"/>
            <w:vMerge w:val="continue"/>
            <w:tcBorders>
              <w:left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p>
        </w:tc>
        <w:tc>
          <w:tcPr>
            <w:tcW w:w="569" w:type="pct"/>
            <w:vMerge w:val="continue"/>
            <w:tcBorders>
              <w:left w:val="nil"/>
              <w:right w:val="single" w:color="auto" w:sz="4" w:space="0"/>
            </w:tcBorders>
          </w:tcPr>
          <w:p>
            <w:pPr>
              <w:pStyle w:val="64"/>
              <w:keepNext w:val="0"/>
              <w:keepLines w:val="0"/>
              <w:widowControl w:val="0"/>
              <w:spacing w:before="0" w:line="240" w:lineRule="auto"/>
              <w:rPr>
                <w:rFonts w:eastAsia="Batang" w:cs="Arial"/>
                <w:color w:val="000000"/>
                <w:sz w:val="20"/>
              </w:rPr>
            </w:pPr>
          </w:p>
        </w:tc>
        <w:tc>
          <w:tcPr>
            <w:tcW w:w="34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1,2,3</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No/Yes</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color w:val="000000"/>
                <w:sz w:val="20"/>
              </w:rPr>
              <w:t>Yes</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eastAsia="Batang" w:cs="Arial"/>
                <w:i/>
                <w:iCs/>
                <w:color w:val="000000"/>
                <w:sz w:val="20"/>
              </w:rPr>
              <w:t>-</w:t>
            </w:r>
          </w:p>
        </w:tc>
        <w:tc>
          <w:tcPr>
            <w:tcW w:w="131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color w:val="000000"/>
                <w:sz w:val="20"/>
              </w:rPr>
            </w:pPr>
            <w:r>
              <w:rPr>
                <w:rFonts w:cs="Arial"/>
                <w:i/>
                <w:iCs/>
                <w:color w:val="FF0000"/>
                <w:sz w:val="20"/>
                <w:u w:val="single"/>
              </w:rPr>
              <w:t>pdsch-TimeDomainAllocationList</w:t>
            </w:r>
            <w:r>
              <w:rPr>
                <w:rFonts w:cs="Arial"/>
                <w:color w:val="FF0000"/>
                <w:sz w:val="20"/>
                <w:u w:val="single"/>
              </w:rPr>
              <w:t xml:space="preserve"> provided in </w:t>
            </w:r>
            <w:r>
              <w:rPr>
                <w:rFonts w:cs="Arial"/>
                <w:i/>
                <w:iCs/>
                <w:color w:val="FF0000"/>
                <w:sz w:val="20"/>
                <w:u w:val="single"/>
              </w:rPr>
              <w:t>PDSCH-Config-MTCH if configured, otherwise,</w:t>
            </w:r>
            <w:r>
              <w:rPr>
                <w:rFonts w:cs="Arial"/>
                <w:i/>
                <w:iCs/>
                <w:color w:val="000000"/>
                <w:sz w:val="20"/>
              </w:rPr>
              <w:t xml:space="preserve"> TimeDomainAllocationList</w:t>
            </w:r>
            <w:r>
              <w:rPr>
                <w:rFonts w:cs="Arial"/>
                <w:color w:val="000000"/>
                <w:sz w:val="20"/>
              </w:rPr>
              <w:t xml:space="preserve"> provided in </w:t>
            </w:r>
            <w:r>
              <w:rPr>
                <w:rFonts w:cs="Arial"/>
                <w:i/>
                <w:iCs/>
                <w:color w:val="000000"/>
                <w:sz w:val="20"/>
              </w:rPr>
              <w:t>PDSCH-Config-MCCH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pct"/>
            <w:vMerge w:val="continue"/>
            <w:tcBorders>
              <w:left w:val="single" w:color="auto" w:sz="4" w:space="0"/>
              <w:bottom w:val="single" w:color="auto" w:sz="4" w:space="0"/>
              <w:right w:val="single" w:color="auto" w:sz="4" w:space="0"/>
            </w:tcBorders>
          </w:tcPr>
          <w:p>
            <w:pPr>
              <w:pStyle w:val="64"/>
              <w:keepNext w:val="0"/>
              <w:keepLines w:val="0"/>
              <w:widowControl w:val="0"/>
              <w:spacing w:before="0" w:line="240" w:lineRule="auto"/>
              <w:rPr>
                <w:rFonts w:eastAsia="Batang" w:cs="Arial"/>
                <w:strike/>
                <w:color w:val="FF0000"/>
                <w:sz w:val="20"/>
              </w:rPr>
            </w:pPr>
          </w:p>
        </w:tc>
        <w:tc>
          <w:tcPr>
            <w:tcW w:w="569" w:type="pct"/>
            <w:vMerge w:val="continue"/>
            <w:tcBorders>
              <w:left w:val="nil"/>
              <w:bottom w:val="single" w:color="auto" w:sz="4" w:space="0"/>
              <w:right w:val="single" w:color="auto" w:sz="4" w:space="0"/>
            </w:tcBorders>
          </w:tcPr>
          <w:p>
            <w:pPr>
              <w:pStyle w:val="64"/>
              <w:keepNext w:val="0"/>
              <w:keepLines w:val="0"/>
              <w:widowControl w:val="0"/>
              <w:spacing w:before="0" w:line="240" w:lineRule="auto"/>
              <w:rPr>
                <w:rFonts w:eastAsia="Batang" w:cs="Arial"/>
                <w:strike/>
                <w:color w:val="FF0000"/>
                <w:sz w:val="20"/>
              </w:rPr>
            </w:pPr>
          </w:p>
        </w:tc>
        <w:tc>
          <w:tcPr>
            <w:tcW w:w="34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strike/>
                <w:color w:val="FF0000"/>
                <w:sz w:val="20"/>
              </w:rPr>
            </w:pPr>
            <w:r>
              <w:rPr>
                <w:rFonts w:eastAsia="Batang" w:cs="Arial"/>
                <w:strike/>
                <w:color w:val="FF0000"/>
                <w:sz w:val="20"/>
              </w:rPr>
              <w:t>1,2,3</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strike/>
                <w:color w:val="FF0000"/>
                <w:sz w:val="20"/>
              </w:rPr>
            </w:pPr>
            <w:r>
              <w:rPr>
                <w:rFonts w:eastAsia="Batang" w:cs="Arial"/>
                <w:strike/>
                <w:color w:val="FF0000"/>
                <w:sz w:val="20"/>
              </w:rPr>
              <w:t>No/Yes</w:t>
            </w:r>
          </w:p>
        </w:tc>
        <w:tc>
          <w:tcPr>
            <w:tcW w:w="581"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strike/>
                <w:color w:val="FF0000"/>
                <w:sz w:val="20"/>
              </w:rPr>
            </w:pPr>
            <w:r>
              <w:rPr>
                <w:rFonts w:eastAsia="Batang" w:cs="Arial"/>
                <w:strike/>
                <w:color w:val="FF0000"/>
                <w:sz w:val="20"/>
              </w:rPr>
              <w:t>-</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strike/>
                <w:color w:val="FF0000"/>
                <w:sz w:val="20"/>
              </w:rPr>
            </w:pPr>
            <w:r>
              <w:rPr>
                <w:rFonts w:eastAsia="Batang" w:cs="Arial"/>
                <w:strike/>
                <w:color w:val="FF0000"/>
                <w:sz w:val="20"/>
              </w:rPr>
              <w:t>Yes</w:t>
            </w:r>
          </w:p>
        </w:tc>
        <w:tc>
          <w:tcPr>
            <w:tcW w:w="522"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strike/>
                <w:color w:val="FF0000"/>
                <w:sz w:val="20"/>
              </w:rPr>
            </w:pPr>
            <w:r>
              <w:rPr>
                <w:rFonts w:eastAsia="Batang" w:cs="Arial"/>
                <w:i/>
                <w:iCs/>
                <w:strike/>
                <w:color w:val="FF0000"/>
                <w:sz w:val="20"/>
              </w:rPr>
              <w:t>-</w:t>
            </w:r>
          </w:p>
        </w:tc>
        <w:tc>
          <w:tcPr>
            <w:tcW w:w="1313" w:type="pct"/>
            <w:tcBorders>
              <w:top w:val="single" w:color="auto" w:sz="4" w:space="0"/>
              <w:left w:val="nil"/>
              <w:bottom w:val="single" w:color="auto" w:sz="4" w:space="0"/>
              <w:right w:val="single" w:color="auto" w:sz="4" w:space="0"/>
            </w:tcBorders>
          </w:tcPr>
          <w:p>
            <w:pPr>
              <w:pStyle w:val="64"/>
              <w:keepNext w:val="0"/>
              <w:keepLines w:val="0"/>
              <w:widowControl w:val="0"/>
              <w:spacing w:before="0" w:line="240" w:lineRule="auto"/>
              <w:rPr>
                <w:rFonts w:eastAsia="Batang" w:cs="Arial"/>
                <w:strike/>
                <w:color w:val="FF0000"/>
                <w:sz w:val="20"/>
              </w:rPr>
            </w:pPr>
            <w:r>
              <w:rPr>
                <w:rFonts w:cs="Arial"/>
                <w:i/>
                <w:iCs/>
                <w:strike/>
                <w:color w:val="FF0000"/>
                <w:sz w:val="20"/>
              </w:rPr>
              <w:t>pdsch-TimeDomainAllocationList</w:t>
            </w:r>
            <w:r>
              <w:rPr>
                <w:rFonts w:cs="Arial"/>
                <w:strike/>
                <w:color w:val="FF0000"/>
                <w:sz w:val="20"/>
              </w:rPr>
              <w:t xml:space="preserve"> provided in </w:t>
            </w:r>
            <w:r>
              <w:rPr>
                <w:rFonts w:cs="Arial"/>
                <w:i/>
                <w:iCs/>
                <w:strike/>
                <w:color w:val="FF0000"/>
                <w:sz w:val="20"/>
              </w:rPr>
              <w:t>PDSCH-Config-MTCH</w:t>
            </w:r>
          </w:p>
        </w:tc>
      </w:tr>
    </w:tbl>
    <w:p>
      <w:pPr>
        <w:pStyle w:val="126"/>
        <w:numPr>
          <w:ilvl w:val="0"/>
          <w:numId w:val="0"/>
        </w:numPr>
        <w:rPr>
          <w:rFonts w:hint="eastAsia"/>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KaiTi_GB2312">
    <w:altName w:val="Times New Roman"/>
    <w:panose1 w:val="02010609060101010101"/>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4">
    <w:nsid w:val="3F0200CD"/>
    <w:multiLevelType w:val="multilevel"/>
    <w:tmpl w:val="3F0200CD"/>
    <w:lvl w:ilvl="0" w:tentative="0">
      <w:start w:val="0"/>
      <w:numFmt w:val="bullet"/>
      <w:lvlText w:val="•"/>
      <w:lvlJc w:val="left"/>
      <w:pPr>
        <w:ind w:left="420" w:hanging="420"/>
      </w:pPr>
      <w:rPr>
        <w:rFonts w:hint="eastAsia" w:ascii="宋体" w:hAnsi="宋体" w:eastAsia="宋体" w:cs="Times New Roman"/>
      </w:rPr>
    </w:lvl>
    <w:lvl w:ilvl="1" w:tentative="0">
      <w:start w:val="0"/>
      <w:numFmt w:val="bullet"/>
      <w:lvlText w:val="•"/>
      <w:lvlJc w:val="left"/>
      <w:pPr>
        <w:ind w:left="840" w:hanging="420"/>
      </w:pPr>
      <w:rPr>
        <w:rFonts w:hint="eastAsia" w:ascii="宋体" w:hAnsi="宋体" w:eastAsia="宋体" w:cs="Times New Roman"/>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580D8EDE"/>
    <w:multiLevelType w:val="singleLevel"/>
    <w:tmpl w:val="580D8EDE"/>
    <w:lvl w:ilvl="0" w:tentative="0">
      <w:start w:val="1"/>
      <w:numFmt w:val="bullet"/>
      <w:lvlText w:val="−"/>
      <w:lvlJc w:val="left"/>
      <w:pPr>
        <w:ind w:left="420" w:leftChars="0" w:hanging="420" w:firstLineChars="0"/>
      </w:pPr>
      <w:rPr>
        <w:rFonts w:hint="default" w:ascii="Arial" w:hAnsi="Arial" w:cs="Arial"/>
      </w:rPr>
    </w:lvl>
  </w:abstractNum>
  <w:abstractNum w:abstractNumId="6">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0146DC0"/>
    <w:multiLevelType w:val="multilevel"/>
    <w:tmpl w:val="70146DC0"/>
    <w:lvl w:ilvl="0" w:tentative="0">
      <w:start w:val="1"/>
      <w:numFmt w:val="bullet"/>
      <w:pStyle w:val="1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7"/>
  </w:num>
  <w:num w:numId="4">
    <w:abstractNumId w:val="3"/>
  </w:num>
  <w:num w:numId="5">
    <w:abstractNumId w:val="10"/>
  </w:num>
  <w:num w:numId="6">
    <w:abstractNumId w:val="6"/>
  </w:num>
  <w:num w:numId="7">
    <w:abstractNumId w:val="2"/>
  </w:num>
  <w:num w:numId="8">
    <w:abstractNumId w:val="9"/>
  </w:num>
  <w:num w:numId="9">
    <w:abstractNumId w:val="8"/>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67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9DE"/>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1B8"/>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4746"/>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864"/>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335"/>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2BF"/>
    <w:rsid w:val="00101459"/>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4A9A"/>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25"/>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9E1"/>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2E0"/>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5F38"/>
    <w:rsid w:val="001462D7"/>
    <w:rsid w:val="00146577"/>
    <w:rsid w:val="001465AA"/>
    <w:rsid w:val="00146773"/>
    <w:rsid w:val="0014703E"/>
    <w:rsid w:val="00147679"/>
    <w:rsid w:val="00147A30"/>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38D"/>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7BE"/>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3F5"/>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37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0E"/>
    <w:rsid w:val="001A0676"/>
    <w:rsid w:val="001A067A"/>
    <w:rsid w:val="001A06C8"/>
    <w:rsid w:val="001A1337"/>
    <w:rsid w:val="001A1941"/>
    <w:rsid w:val="001A1A79"/>
    <w:rsid w:val="001A1CAA"/>
    <w:rsid w:val="001A2242"/>
    <w:rsid w:val="001A2939"/>
    <w:rsid w:val="001A2A1D"/>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09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59E"/>
    <w:rsid w:val="001D2B3C"/>
    <w:rsid w:val="001D2E6C"/>
    <w:rsid w:val="001D2F8F"/>
    <w:rsid w:val="001D35DC"/>
    <w:rsid w:val="001D43C0"/>
    <w:rsid w:val="001D448E"/>
    <w:rsid w:val="001D4969"/>
    <w:rsid w:val="001D4AF0"/>
    <w:rsid w:val="001D4F24"/>
    <w:rsid w:val="001D4FCB"/>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08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2C"/>
    <w:rsid w:val="001F5C95"/>
    <w:rsid w:val="001F5C9E"/>
    <w:rsid w:val="001F5E73"/>
    <w:rsid w:val="001F5ED8"/>
    <w:rsid w:val="001F5F10"/>
    <w:rsid w:val="001F6137"/>
    <w:rsid w:val="001F644E"/>
    <w:rsid w:val="001F69D4"/>
    <w:rsid w:val="001F6E45"/>
    <w:rsid w:val="001F7307"/>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37B"/>
    <w:rsid w:val="00224A38"/>
    <w:rsid w:val="00224A9B"/>
    <w:rsid w:val="00225063"/>
    <w:rsid w:val="00225F53"/>
    <w:rsid w:val="00226275"/>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0EF"/>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7AD"/>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6B3"/>
    <w:rsid w:val="00265701"/>
    <w:rsid w:val="00265CB1"/>
    <w:rsid w:val="00265E9A"/>
    <w:rsid w:val="00266111"/>
    <w:rsid w:val="00266210"/>
    <w:rsid w:val="002664FA"/>
    <w:rsid w:val="00266867"/>
    <w:rsid w:val="0026716C"/>
    <w:rsid w:val="00267221"/>
    <w:rsid w:val="002676E2"/>
    <w:rsid w:val="00267819"/>
    <w:rsid w:val="00267FE3"/>
    <w:rsid w:val="00270259"/>
    <w:rsid w:val="002706CC"/>
    <w:rsid w:val="002708DA"/>
    <w:rsid w:val="00270C63"/>
    <w:rsid w:val="00270C98"/>
    <w:rsid w:val="00270CF1"/>
    <w:rsid w:val="00270E57"/>
    <w:rsid w:val="00270E80"/>
    <w:rsid w:val="002711C3"/>
    <w:rsid w:val="002713CE"/>
    <w:rsid w:val="0027188A"/>
    <w:rsid w:val="0027193C"/>
    <w:rsid w:val="00271EEF"/>
    <w:rsid w:val="0027229E"/>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00C"/>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E28"/>
    <w:rsid w:val="00286631"/>
    <w:rsid w:val="00286B84"/>
    <w:rsid w:val="00286F2D"/>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B20"/>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0DF"/>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3D0"/>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BAD"/>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7BB"/>
    <w:rsid w:val="002D3968"/>
    <w:rsid w:val="002D425A"/>
    <w:rsid w:val="002D4314"/>
    <w:rsid w:val="002D4A54"/>
    <w:rsid w:val="002D4E37"/>
    <w:rsid w:val="002D52E0"/>
    <w:rsid w:val="002D547D"/>
    <w:rsid w:val="002D5DEA"/>
    <w:rsid w:val="002D5E9C"/>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7B3"/>
    <w:rsid w:val="002E2923"/>
    <w:rsid w:val="002E2A76"/>
    <w:rsid w:val="002E306D"/>
    <w:rsid w:val="002E3653"/>
    <w:rsid w:val="002E38B7"/>
    <w:rsid w:val="002E4301"/>
    <w:rsid w:val="002E52D5"/>
    <w:rsid w:val="002E58E1"/>
    <w:rsid w:val="002E5BDD"/>
    <w:rsid w:val="002E5C56"/>
    <w:rsid w:val="002E5D86"/>
    <w:rsid w:val="002E5DD7"/>
    <w:rsid w:val="002E6809"/>
    <w:rsid w:val="002E732F"/>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91C"/>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1C1"/>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3E4"/>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CE0"/>
    <w:rsid w:val="00363FC9"/>
    <w:rsid w:val="00365023"/>
    <w:rsid w:val="0036559B"/>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48A"/>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3"/>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D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2BF"/>
    <w:rsid w:val="00422A01"/>
    <w:rsid w:val="00422D62"/>
    <w:rsid w:val="00422DB5"/>
    <w:rsid w:val="004232CC"/>
    <w:rsid w:val="004232D4"/>
    <w:rsid w:val="00423326"/>
    <w:rsid w:val="00423FE1"/>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3E9"/>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B4F"/>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33B"/>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3BD"/>
    <w:rsid w:val="00497404"/>
    <w:rsid w:val="00497C03"/>
    <w:rsid w:val="004A01E1"/>
    <w:rsid w:val="004A0911"/>
    <w:rsid w:val="004A0E00"/>
    <w:rsid w:val="004A0F3C"/>
    <w:rsid w:val="004A14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24"/>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4F4B"/>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3B86"/>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CA1"/>
    <w:rsid w:val="00563FD2"/>
    <w:rsid w:val="0056434D"/>
    <w:rsid w:val="00564597"/>
    <w:rsid w:val="00564EB9"/>
    <w:rsid w:val="00564ED1"/>
    <w:rsid w:val="00565321"/>
    <w:rsid w:val="0056579F"/>
    <w:rsid w:val="00565B33"/>
    <w:rsid w:val="00566855"/>
    <w:rsid w:val="00566A92"/>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30"/>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901"/>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62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46D"/>
    <w:rsid w:val="005F1506"/>
    <w:rsid w:val="005F1543"/>
    <w:rsid w:val="005F1FE4"/>
    <w:rsid w:val="005F2528"/>
    <w:rsid w:val="005F27D4"/>
    <w:rsid w:val="005F328C"/>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F4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251"/>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162"/>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17FC7"/>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8DF"/>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B2"/>
    <w:rsid w:val="00653217"/>
    <w:rsid w:val="00653273"/>
    <w:rsid w:val="00653FED"/>
    <w:rsid w:val="0065424F"/>
    <w:rsid w:val="006543F3"/>
    <w:rsid w:val="006544F6"/>
    <w:rsid w:val="00655070"/>
    <w:rsid w:val="00655223"/>
    <w:rsid w:val="00655780"/>
    <w:rsid w:val="0065594D"/>
    <w:rsid w:val="006561FF"/>
    <w:rsid w:val="00656D6F"/>
    <w:rsid w:val="00656E19"/>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5A4"/>
    <w:rsid w:val="006B163E"/>
    <w:rsid w:val="006B166D"/>
    <w:rsid w:val="006B19B2"/>
    <w:rsid w:val="006B1A07"/>
    <w:rsid w:val="006B1DA2"/>
    <w:rsid w:val="006B1F5F"/>
    <w:rsid w:val="006B2008"/>
    <w:rsid w:val="006B2052"/>
    <w:rsid w:val="006B21E9"/>
    <w:rsid w:val="006B242D"/>
    <w:rsid w:val="006B2431"/>
    <w:rsid w:val="006B24F8"/>
    <w:rsid w:val="006B2775"/>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815"/>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504"/>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1EA9"/>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89D"/>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80B"/>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A6"/>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A3B"/>
    <w:rsid w:val="00727E3C"/>
    <w:rsid w:val="00727E9F"/>
    <w:rsid w:val="00730115"/>
    <w:rsid w:val="007306D2"/>
    <w:rsid w:val="00730F0F"/>
    <w:rsid w:val="00730FB9"/>
    <w:rsid w:val="007310DD"/>
    <w:rsid w:val="0073128B"/>
    <w:rsid w:val="0073150C"/>
    <w:rsid w:val="0073171A"/>
    <w:rsid w:val="007325D3"/>
    <w:rsid w:val="00732885"/>
    <w:rsid w:val="00733575"/>
    <w:rsid w:val="00733858"/>
    <w:rsid w:val="00733A80"/>
    <w:rsid w:val="0073406C"/>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C77"/>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678D5"/>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96"/>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04B"/>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C70"/>
    <w:rsid w:val="00787FF1"/>
    <w:rsid w:val="00791190"/>
    <w:rsid w:val="007916D2"/>
    <w:rsid w:val="00791866"/>
    <w:rsid w:val="00791ADE"/>
    <w:rsid w:val="00791BE9"/>
    <w:rsid w:val="00791BEA"/>
    <w:rsid w:val="00792173"/>
    <w:rsid w:val="00792356"/>
    <w:rsid w:val="007926B7"/>
    <w:rsid w:val="00792AD3"/>
    <w:rsid w:val="00792BEC"/>
    <w:rsid w:val="00792ECC"/>
    <w:rsid w:val="007935A9"/>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3DE"/>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6ACD"/>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60"/>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8C2"/>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2C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200"/>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1C9C"/>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3DD0"/>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5F7F"/>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AFD"/>
    <w:rsid w:val="009B3C79"/>
    <w:rsid w:val="009B3D2F"/>
    <w:rsid w:val="009B3D47"/>
    <w:rsid w:val="009B4250"/>
    <w:rsid w:val="009B4605"/>
    <w:rsid w:val="009B4821"/>
    <w:rsid w:val="009B4867"/>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896"/>
    <w:rsid w:val="009C5EFE"/>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27"/>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1FC3"/>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285"/>
    <w:rsid w:val="00A46F5A"/>
    <w:rsid w:val="00A46FAD"/>
    <w:rsid w:val="00A470E3"/>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1B2"/>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09"/>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7FD"/>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12C"/>
    <w:rsid w:val="00AB2857"/>
    <w:rsid w:val="00AB2B64"/>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1A2"/>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0E2"/>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A91"/>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5C5"/>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1B9"/>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BEA"/>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545"/>
    <w:rsid w:val="00B62894"/>
    <w:rsid w:val="00B62A18"/>
    <w:rsid w:val="00B62F1E"/>
    <w:rsid w:val="00B633BA"/>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4F42"/>
    <w:rsid w:val="00B85132"/>
    <w:rsid w:val="00B855A8"/>
    <w:rsid w:val="00B85837"/>
    <w:rsid w:val="00B85935"/>
    <w:rsid w:val="00B85F67"/>
    <w:rsid w:val="00B86557"/>
    <w:rsid w:val="00B86AD8"/>
    <w:rsid w:val="00B86D87"/>
    <w:rsid w:val="00B871D4"/>
    <w:rsid w:val="00B8744F"/>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546"/>
    <w:rsid w:val="00B95A04"/>
    <w:rsid w:val="00B95C49"/>
    <w:rsid w:val="00B95EEF"/>
    <w:rsid w:val="00B95FD7"/>
    <w:rsid w:val="00B96228"/>
    <w:rsid w:val="00B96313"/>
    <w:rsid w:val="00B96CF0"/>
    <w:rsid w:val="00B96DA2"/>
    <w:rsid w:val="00B97167"/>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A7F19"/>
    <w:rsid w:val="00BA7FE4"/>
    <w:rsid w:val="00BB008F"/>
    <w:rsid w:val="00BB0528"/>
    <w:rsid w:val="00BB070E"/>
    <w:rsid w:val="00BB0D75"/>
    <w:rsid w:val="00BB1286"/>
    <w:rsid w:val="00BB128C"/>
    <w:rsid w:val="00BB1408"/>
    <w:rsid w:val="00BB1C4F"/>
    <w:rsid w:val="00BB1DA1"/>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734"/>
    <w:rsid w:val="00BB7DB1"/>
    <w:rsid w:val="00BC01E0"/>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1F7"/>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46A"/>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5DC6"/>
    <w:rsid w:val="00BD614C"/>
    <w:rsid w:val="00BD6398"/>
    <w:rsid w:val="00BD6509"/>
    <w:rsid w:val="00BD689C"/>
    <w:rsid w:val="00BD6909"/>
    <w:rsid w:val="00BD6980"/>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052"/>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965"/>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AA1"/>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5F72"/>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30"/>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5E"/>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6E74"/>
    <w:rsid w:val="00C870BA"/>
    <w:rsid w:val="00C8781D"/>
    <w:rsid w:val="00C878E9"/>
    <w:rsid w:val="00C87AF9"/>
    <w:rsid w:val="00C901A9"/>
    <w:rsid w:val="00C9037C"/>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5A9"/>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4F3"/>
    <w:rsid w:val="00CF5E07"/>
    <w:rsid w:val="00CF5E86"/>
    <w:rsid w:val="00CF5EE9"/>
    <w:rsid w:val="00CF61A3"/>
    <w:rsid w:val="00CF66DE"/>
    <w:rsid w:val="00CF6848"/>
    <w:rsid w:val="00CF6AF3"/>
    <w:rsid w:val="00CF6C9A"/>
    <w:rsid w:val="00CF74F6"/>
    <w:rsid w:val="00CF7521"/>
    <w:rsid w:val="00CF76AE"/>
    <w:rsid w:val="00CF7C01"/>
    <w:rsid w:val="00CF7CCF"/>
    <w:rsid w:val="00CF7D8D"/>
    <w:rsid w:val="00CF7FE6"/>
    <w:rsid w:val="00D002EF"/>
    <w:rsid w:val="00D0033A"/>
    <w:rsid w:val="00D00429"/>
    <w:rsid w:val="00D00522"/>
    <w:rsid w:val="00D00B22"/>
    <w:rsid w:val="00D00FCA"/>
    <w:rsid w:val="00D014D9"/>
    <w:rsid w:val="00D0175A"/>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8BA"/>
    <w:rsid w:val="00D26B2E"/>
    <w:rsid w:val="00D26DBE"/>
    <w:rsid w:val="00D27351"/>
    <w:rsid w:val="00D27AAD"/>
    <w:rsid w:val="00D27B06"/>
    <w:rsid w:val="00D27F01"/>
    <w:rsid w:val="00D30373"/>
    <w:rsid w:val="00D309B2"/>
    <w:rsid w:val="00D309D3"/>
    <w:rsid w:val="00D30C46"/>
    <w:rsid w:val="00D30FC7"/>
    <w:rsid w:val="00D31B9F"/>
    <w:rsid w:val="00D31BEA"/>
    <w:rsid w:val="00D31CE5"/>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263"/>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67F"/>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4F30"/>
    <w:rsid w:val="00D65404"/>
    <w:rsid w:val="00D6575A"/>
    <w:rsid w:val="00D65837"/>
    <w:rsid w:val="00D65DD6"/>
    <w:rsid w:val="00D66008"/>
    <w:rsid w:val="00D66022"/>
    <w:rsid w:val="00D66065"/>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0F4"/>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401"/>
    <w:rsid w:val="00D83850"/>
    <w:rsid w:val="00D84268"/>
    <w:rsid w:val="00D84278"/>
    <w:rsid w:val="00D846C5"/>
    <w:rsid w:val="00D847C6"/>
    <w:rsid w:val="00D84EF8"/>
    <w:rsid w:val="00D84F16"/>
    <w:rsid w:val="00D84FF0"/>
    <w:rsid w:val="00D855BA"/>
    <w:rsid w:val="00D85BDA"/>
    <w:rsid w:val="00D86095"/>
    <w:rsid w:val="00D86ACF"/>
    <w:rsid w:val="00D86B37"/>
    <w:rsid w:val="00D86EE5"/>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8C3"/>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7F"/>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3F1"/>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4D66"/>
    <w:rsid w:val="00E45041"/>
    <w:rsid w:val="00E450D8"/>
    <w:rsid w:val="00E452D0"/>
    <w:rsid w:val="00E45A9D"/>
    <w:rsid w:val="00E4607D"/>
    <w:rsid w:val="00E460A1"/>
    <w:rsid w:val="00E4616E"/>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18F"/>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773"/>
    <w:rsid w:val="00EE58F6"/>
    <w:rsid w:val="00EE5D39"/>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1F8C"/>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89"/>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2F13"/>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52"/>
    <w:rsid w:val="00F27000"/>
    <w:rsid w:val="00F27776"/>
    <w:rsid w:val="00F27CE7"/>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23A"/>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67EE5"/>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87E49"/>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6C9"/>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73548"/>
    <w:rsid w:val="0284643E"/>
    <w:rsid w:val="03532C3F"/>
    <w:rsid w:val="03B25C4C"/>
    <w:rsid w:val="03F94E83"/>
    <w:rsid w:val="03FC4856"/>
    <w:rsid w:val="046942AE"/>
    <w:rsid w:val="04ED6BB3"/>
    <w:rsid w:val="054A3BE8"/>
    <w:rsid w:val="056B6146"/>
    <w:rsid w:val="05780B89"/>
    <w:rsid w:val="06572400"/>
    <w:rsid w:val="067D4C1C"/>
    <w:rsid w:val="06B127E5"/>
    <w:rsid w:val="072F2729"/>
    <w:rsid w:val="07C21FA9"/>
    <w:rsid w:val="0957797D"/>
    <w:rsid w:val="0972706B"/>
    <w:rsid w:val="09C21BB6"/>
    <w:rsid w:val="0A867EAB"/>
    <w:rsid w:val="0AFC60B7"/>
    <w:rsid w:val="0BAD7041"/>
    <w:rsid w:val="0C0822EF"/>
    <w:rsid w:val="0C6F5654"/>
    <w:rsid w:val="0D132BA9"/>
    <w:rsid w:val="0D570B9C"/>
    <w:rsid w:val="0D660AC2"/>
    <w:rsid w:val="0D672BF6"/>
    <w:rsid w:val="0D7A541B"/>
    <w:rsid w:val="0E120AD5"/>
    <w:rsid w:val="0EB06FFE"/>
    <w:rsid w:val="10150A41"/>
    <w:rsid w:val="11244EB3"/>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A935EB8"/>
    <w:rsid w:val="1B2E5429"/>
    <w:rsid w:val="1B2E6DC7"/>
    <w:rsid w:val="1B5316CE"/>
    <w:rsid w:val="1B5E59D2"/>
    <w:rsid w:val="1C040825"/>
    <w:rsid w:val="1C0E5DBC"/>
    <w:rsid w:val="1C766428"/>
    <w:rsid w:val="1DD50930"/>
    <w:rsid w:val="1DF407BB"/>
    <w:rsid w:val="1E38003B"/>
    <w:rsid w:val="1F2457C4"/>
    <w:rsid w:val="1F850095"/>
    <w:rsid w:val="1F894BC5"/>
    <w:rsid w:val="1FB91CD0"/>
    <w:rsid w:val="20910CB1"/>
    <w:rsid w:val="20CD42FE"/>
    <w:rsid w:val="21035A99"/>
    <w:rsid w:val="21282288"/>
    <w:rsid w:val="218D1DC4"/>
    <w:rsid w:val="21C15CCD"/>
    <w:rsid w:val="21F51FE5"/>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7862A6"/>
    <w:rsid w:val="2CC038FC"/>
    <w:rsid w:val="2D376513"/>
    <w:rsid w:val="2DC863F1"/>
    <w:rsid w:val="2EB72406"/>
    <w:rsid w:val="2EFA1371"/>
    <w:rsid w:val="2F2367DE"/>
    <w:rsid w:val="31542D3B"/>
    <w:rsid w:val="31A276D9"/>
    <w:rsid w:val="32521735"/>
    <w:rsid w:val="32832752"/>
    <w:rsid w:val="32AF4A4B"/>
    <w:rsid w:val="32FE23BF"/>
    <w:rsid w:val="330E6893"/>
    <w:rsid w:val="33DE0CB9"/>
    <w:rsid w:val="340E0F36"/>
    <w:rsid w:val="34457AEF"/>
    <w:rsid w:val="3511129D"/>
    <w:rsid w:val="3526273F"/>
    <w:rsid w:val="359455FE"/>
    <w:rsid w:val="36CD07B0"/>
    <w:rsid w:val="36E060B4"/>
    <w:rsid w:val="373F47FD"/>
    <w:rsid w:val="375C57D7"/>
    <w:rsid w:val="376A5892"/>
    <w:rsid w:val="37DD651E"/>
    <w:rsid w:val="38AF7030"/>
    <w:rsid w:val="38BA113F"/>
    <w:rsid w:val="3A135075"/>
    <w:rsid w:val="3A8424B5"/>
    <w:rsid w:val="3AB31D0C"/>
    <w:rsid w:val="3AE203A5"/>
    <w:rsid w:val="3B060512"/>
    <w:rsid w:val="3B4A3B53"/>
    <w:rsid w:val="3BF47021"/>
    <w:rsid w:val="3C923082"/>
    <w:rsid w:val="3CEB369A"/>
    <w:rsid w:val="3D0354C7"/>
    <w:rsid w:val="3D7642C9"/>
    <w:rsid w:val="3DDA6D42"/>
    <w:rsid w:val="3E7347F4"/>
    <w:rsid w:val="3EA42DF7"/>
    <w:rsid w:val="3EF83C43"/>
    <w:rsid w:val="3F01664D"/>
    <w:rsid w:val="3F175FC8"/>
    <w:rsid w:val="3F3C0D01"/>
    <w:rsid w:val="3F646712"/>
    <w:rsid w:val="3FB24717"/>
    <w:rsid w:val="3FD010A5"/>
    <w:rsid w:val="40850DCD"/>
    <w:rsid w:val="411D1AC2"/>
    <w:rsid w:val="41AC1D9C"/>
    <w:rsid w:val="4242619A"/>
    <w:rsid w:val="42B20782"/>
    <w:rsid w:val="42D56493"/>
    <w:rsid w:val="437B44D8"/>
    <w:rsid w:val="441C2E6C"/>
    <w:rsid w:val="44917C93"/>
    <w:rsid w:val="44AF3E4D"/>
    <w:rsid w:val="46D41E44"/>
    <w:rsid w:val="47067C0D"/>
    <w:rsid w:val="47AE2F53"/>
    <w:rsid w:val="47D53824"/>
    <w:rsid w:val="49446ABC"/>
    <w:rsid w:val="496938E0"/>
    <w:rsid w:val="49882B35"/>
    <w:rsid w:val="4A2A1BF5"/>
    <w:rsid w:val="4A547400"/>
    <w:rsid w:val="4B3872E6"/>
    <w:rsid w:val="4B412EF2"/>
    <w:rsid w:val="4BA13D2C"/>
    <w:rsid w:val="4C3E334E"/>
    <w:rsid w:val="4CA149AE"/>
    <w:rsid w:val="4D7F7890"/>
    <w:rsid w:val="4DF51404"/>
    <w:rsid w:val="4E5633F4"/>
    <w:rsid w:val="4E7740D9"/>
    <w:rsid w:val="4EAC0AFF"/>
    <w:rsid w:val="4EC2021D"/>
    <w:rsid w:val="50FD13B2"/>
    <w:rsid w:val="5157519E"/>
    <w:rsid w:val="51DB2462"/>
    <w:rsid w:val="522E21B9"/>
    <w:rsid w:val="52FE30BB"/>
    <w:rsid w:val="536E79E7"/>
    <w:rsid w:val="54CE2507"/>
    <w:rsid w:val="55181CD2"/>
    <w:rsid w:val="55804571"/>
    <w:rsid w:val="55D01D97"/>
    <w:rsid w:val="568F21E8"/>
    <w:rsid w:val="56C007B8"/>
    <w:rsid w:val="57244B18"/>
    <w:rsid w:val="57AE3DD2"/>
    <w:rsid w:val="57B136A9"/>
    <w:rsid w:val="57EF6871"/>
    <w:rsid w:val="58240039"/>
    <w:rsid w:val="593025E2"/>
    <w:rsid w:val="595A121E"/>
    <w:rsid w:val="59C75644"/>
    <w:rsid w:val="5AF07FF7"/>
    <w:rsid w:val="5AF422E5"/>
    <w:rsid w:val="5BF26431"/>
    <w:rsid w:val="5C04154C"/>
    <w:rsid w:val="5DB02D5E"/>
    <w:rsid w:val="5E780DEA"/>
    <w:rsid w:val="5F631FA8"/>
    <w:rsid w:val="62772955"/>
    <w:rsid w:val="6467004C"/>
    <w:rsid w:val="65507243"/>
    <w:rsid w:val="65576B9C"/>
    <w:rsid w:val="656027FF"/>
    <w:rsid w:val="66457E51"/>
    <w:rsid w:val="666E1A16"/>
    <w:rsid w:val="6680376E"/>
    <w:rsid w:val="66ED31EA"/>
    <w:rsid w:val="68283096"/>
    <w:rsid w:val="691A3243"/>
    <w:rsid w:val="696778F6"/>
    <w:rsid w:val="696C42BB"/>
    <w:rsid w:val="698A6B0F"/>
    <w:rsid w:val="6A782EAA"/>
    <w:rsid w:val="6A907363"/>
    <w:rsid w:val="6AB42B93"/>
    <w:rsid w:val="6B704279"/>
    <w:rsid w:val="6B8B75BB"/>
    <w:rsid w:val="6C004889"/>
    <w:rsid w:val="6CEC2069"/>
    <w:rsid w:val="6D020EA1"/>
    <w:rsid w:val="6E0F1211"/>
    <w:rsid w:val="6E6341F7"/>
    <w:rsid w:val="6ECA12A3"/>
    <w:rsid w:val="6ED5379A"/>
    <w:rsid w:val="6EFC23B2"/>
    <w:rsid w:val="6FBD0858"/>
    <w:rsid w:val="714F494F"/>
    <w:rsid w:val="727F50C8"/>
    <w:rsid w:val="72E1752D"/>
    <w:rsid w:val="73A015C2"/>
    <w:rsid w:val="73A913CF"/>
    <w:rsid w:val="73EB1497"/>
    <w:rsid w:val="74000A47"/>
    <w:rsid w:val="740C2878"/>
    <w:rsid w:val="74885606"/>
    <w:rsid w:val="748F156A"/>
    <w:rsid w:val="74F67B77"/>
    <w:rsid w:val="751115BE"/>
    <w:rsid w:val="75740E00"/>
    <w:rsid w:val="763A080C"/>
    <w:rsid w:val="76EB5B39"/>
    <w:rsid w:val="76FF7590"/>
    <w:rsid w:val="776F4F23"/>
    <w:rsid w:val="78156E78"/>
    <w:rsid w:val="782D5EAF"/>
    <w:rsid w:val="78480D62"/>
    <w:rsid w:val="785E1CD6"/>
    <w:rsid w:val="786302A1"/>
    <w:rsid w:val="789F1175"/>
    <w:rsid w:val="78BA1FE2"/>
    <w:rsid w:val="7931734A"/>
    <w:rsid w:val="7A235A40"/>
    <w:rsid w:val="7A835347"/>
    <w:rsid w:val="7ADB38D4"/>
    <w:rsid w:val="7B311322"/>
    <w:rsid w:val="7DD2691C"/>
    <w:rsid w:val="7E3563A1"/>
    <w:rsid w:val="7E907410"/>
    <w:rsid w:val="7E9326F9"/>
    <w:rsid w:val="7EE20452"/>
    <w:rsid w:val="7F016B4B"/>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spacing w:before="240"/>
      <w:outlineLvl w:val="0"/>
    </w:pPr>
    <w:rPr>
      <w:rFonts w:ascii="Arial" w:hAnsi="Arial"/>
      <w:sz w:val="36"/>
      <w:lang w:val="en-GB"/>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99"/>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KaiTi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Doc-text2"/>
    <w:basedOn w:val="1"/>
    <w:link w:val="159"/>
    <w:qFormat/>
    <w:uiPriority w:val="0"/>
    <w:pPr>
      <w:tabs>
        <w:tab w:val="left" w:pos="1622"/>
      </w:tabs>
      <w:overflowPunct/>
      <w:autoSpaceDE/>
      <w:autoSpaceDN/>
      <w:adjustRightInd/>
      <w:spacing w:after="0"/>
      <w:ind w:left="1622" w:hanging="363"/>
      <w:jc w:val="left"/>
      <w:textAlignment w:val="auto"/>
    </w:pPr>
    <w:rPr>
      <w:rFonts w:ascii="Arial" w:hAnsi="Arial" w:eastAsia="MS Mincho"/>
      <w:szCs w:val="24"/>
      <w:lang w:val="en-GB" w:eastAsia="en-GB"/>
    </w:rPr>
  </w:style>
  <w:style w:type="character" w:customStyle="1" w:styleId="159">
    <w:name w:val="Doc-text2 Char"/>
    <w:link w:val="158"/>
    <w:qFormat/>
    <w:uiPriority w:val="0"/>
    <w:rPr>
      <w:rFonts w:ascii="Arial" w:hAnsi="Arial" w:eastAsia="MS Mincho"/>
      <w:szCs w:val="24"/>
      <w:lang w:val="en-GB" w:eastAsia="en-GB"/>
    </w:rPr>
  </w:style>
  <w:style w:type="paragraph" w:customStyle="1" w:styleId="160">
    <w:name w:val="Agreement"/>
    <w:basedOn w:val="1"/>
    <w:next w:val="158"/>
    <w:qFormat/>
    <w:uiPriority w:val="99"/>
    <w:pPr>
      <w:numPr>
        <w:ilvl w:val="0"/>
        <w:numId w:val="9"/>
      </w:numPr>
      <w:overflowPunct/>
      <w:autoSpaceDE/>
      <w:autoSpaceDN/>
      <w:adjustRightInd/>
      <w:spacing w:before="60" w:after="0"/>
      <w:jc w:val="left"/>
      <w:textAlignment w:val="auto"/>
    </w:pPr>
    <w:rPr>
      <w:rFonts w:ascii="Arial" w:hAnsi="Arial" w:eastAsia="MS Mincho"/>
      <w:b/>
      <w:szCs w:val="24"/>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EAAECB-0475-4B26-B4FB-47810678595C}">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4</Pages>
  <Words>1273</Words>
  <Characters>7260</Characters>
  <Lines>60</Lines>
  <Paragraphs>17</Paragraphs>
  <TotalTime>2</TotalTime>
  <ScaleCrop>false</ScaleCrop>
  <LinksUpToDate>false</LinksUpToDate>
  <CharactersWithSpaces>8516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2022-01-05T14:33:00Z</dcterms:created>
  <dc:creator>ZTE Corporation</dc:creator>
  <cp:lastModifiedBy>liuxing</cp:lastModifiedBy>
  <cp:lastPrinted>2018-04-07T03:05:00Z</cp:lastPrinted>
  <dcterms:modified xsi:type="dcterms:W3CDTF">2022-02-08T08:21:48Z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